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Arial"/>
          <w:kern w:val="0"/>
          <w:sz w:val="28"/>
          <w:szCs w:val="28"/>
        </w:rPr>
      </w:pPr>
      <w:r>
        <w:rPr>
          <w:rFonts w:hint="eastAsia" w:ascii="黑体" w:hAnsi="黑体" w:eastAsia="黑体" w:cs="Arial"/>
          <w:kern w:val="0"/>
          <w:sz w:val="28"/>
          <w:szCs w:val="28"/>
        </w:rPr>
        <w:t>附件</w:t>
      </w:r>
      <w:r>
        <w:rPr>
          <w:rFonts w:ascii="黑体" w:hAnsi="黑体" w:eastAsia="黑体" w:cs="Arial"/>
          <w:kern w:val="0"/>
          <w:sz w:val="28"/>
          <w:szCs w:val="28"/>
        </w:rPr>
        <w:t>4</w:t>
      </w:r>
    </w:p>
    <w:p>
      <w:pPr>
        <w:widowControl/>
        <w:spacing w:line="500" w:lineRule="exact"/>
        <w:jc w:val="center"/>
        <w:rPr>
          <w:rFonts w:ascii="黑体" w:hAnsi="黑体" w:eastAsia="黑体" w:cs="Arial"/>
          <w:b/>
          <w:kern w:val="0"/>
          <w:sz w:val="32"/>
          <w:szCs w:val="32"/>
        </w:rPr>
      </w:pPr>
      <w:r>
        <w:rPr>
          <w:rFonts w:hint="eastAsia" w:ascii="仿宋_GB2312" w:hAnsi="宋体" w:eastAsia="仿宋_GB2312" w:cs="Arial"/>
          <w:b/>
          <w:kern w:val="0"/>
          <w:sz w:val="32"/>
          <w:szCs w:val="32"/>
        </w:rPr>
        <w:t>中南大学</w:t>
      </w:r>
      <w:r>
        <w:rPr>
          <w:rFonts w:ascii="仿宋_GB2312" w:hAnsi="宋体" w:eastAsia="仿宋_GB2312" w:cs="Arial"/>
          <w:b/>
          <w:kern w:val="0"/>
          <w:sz w:val="32"/>
          <w:szCs w:val="32"/>
        </w:rPr>
        <w:t>2019</w:t>
      </w:r>
      <w:r>
        <w:rPr>
          <w:rFonts w:hint="eastAsia" w:ascii="仿宋_GB2312" w:hAnsi="宋体" w:eastAsia="仿宋_GB2312" w:cs="Arial"/>
          <w:b/>
          <w:kern w:val="0"/>
          <w:sz w:val="32"/>
          <w:szCs w:val="32"/>
        </w:rPr>
        <w:t>年硕士研究生新生奖助学金政策及学费标准</w:t>
      </w:r>
    </w:p>
    <w:p>
      <w:pPr>
        <w:widowControl/>
        <w:spacing w:line="500" w:lineRule="exact"/>
        <w:ind w:firstLine="420"/>
        <w:rPr>
          <w:rFonts w:ascii="仿宋_GB2312" w:hAnsi="宋体" w:eastAsia="仿宋_GB2312" w:cs="Arial"/>
          <w:kern w:val="0"/>
          <w:sz w:val="24"/>
        </w:rPr>
      </w:pPr>
      <w:r>
        <w:rPr>
          <w:rFonts w:hint="eastAsia" w:ascii="仿宋_GB2312" w:hAnsi="宋体" w:eastAsia="仿宋_GB2312" w:cs="Arial"/>
          <w:kern w:val="0"/>
          <w:sz w:val="24"/>
        </w:rPr>
        <w:t>国家规定所有纳入招生计划的硕士研究生都要缴纳学费。根据《湖南省发展和改革委员会、湖南省财政厅、湖南省教育厅关于加强我省研究生收费管理的通知》（湘发改价费</w:t>
      </w:r>
      <w:r>
        <w:rPr>
          <w:rFonts w:ascii="仿宋_GB2312" w:hAnsi="宋体" w:eastAsia="仿宋_GB2312" w:cs="Arial"/>
          <w:kern w:val="0"/>
          <w:sz w:val="24"/>
        </w:rPr>
        <w:t>[2018]99</w:t>
      </w:r>
      <w:r>
        <w:rPr>
          <w:rFonts w:hint="eastAsia" w:ascii="仿宋_GB2312" w:hAnsi="宋体" w:eastAsia="仿宋_GB2312" w:cs="Arial"/>
          <w:kern w:val="0"/>
          <w:sz w:val="24"/>
        </w:rPr>
        <w:t>号）、《中南大学研究生学业奖学金管理办法》（中大研字</w:t>
      </w:r>
      <w:r>
        <w:rPr>
          <w:rFonts w:ascii="仿宋_GB2312" w:hAnsi="宋体" w:eastAsia="仿宋_GB2312" w:cs="Arial"/>
          <w:kern w:val="0"/>
          <w:sz w:val="24"/>
        </w:rPr>
        <w:t>[2018]23</w:t>
      </w:r>
      <w:r>
        <w:rPr>
          <w:rFonts w:hint="eastAsia" w:ascii="仿宋_GB2312" w:hAnsi="宋体" w:eastAsia="仿宋_GB2312" w:cs="Arial"/>
          <w:kern w:val="0"/>
          <w:sz w:val="24"/>
        </w:rPr>
        <w:t>号）、《中南大学研究生助学金管理办法》（中大研字</w:t>
      </w:r>
      <w:r>
        <w:rPr>
          <w:rFonts w:ascii="仿宋_GB2312" w:hAnsi="宋体" w:eastAsia="仿宋_GB2312" w:cs="Arial"/>
          <w:kern w:val="0"/>
          <w:sz w:val="24"/>
        </w:rPr>
        <w:t>[2018]26</w:t>
      </w:r>
      <w:r>
        <w:rPr>
          <w:rFonts w:hint="eastAsia" w:ascii="仿宋_GB2312" w:hAnsi="宋体" w:eastAsia="仿宋_GB2312" w:cs="Arial"/>
          <w:kern w:val="0"/>
          <w:sz w:val="24"/>
        </w:rPr>
        <w:t>号）文件精神。我校</w:t>
      </w:r>
      <w:r>
        <w:rPr>
          <w:rFonts w:ascii="仿宋_GB2312" w:hAnsi="宋体" w:eastAsia="仿宋_GB2312" w:cs="Arial"/>
          <w:kern w:val="0"/>
          <w:sz w:val="24"/>
        </w:rPr>
        <w:t>2019</w:t>
      </w:r>
      <w:r>
        <w:rPr>
          <w:rFonts w:hint="eastAsia" w:ascii="仿宋_GB2312" w:hAnsi="宋体" w:eastAsia="仿宋_GB2312" w:cs="Arial"/>
          <w:kern w:val="0"/>
          <w:sz w:val="24"/>
        </w:rPr>
        <w:t>年硕士研究生新生学费标准及奖助学金政策如下：</w:t>
      </w:r>
    </w:p>
    <w:p>
      <w:pPr>
        <w:widowControl/>
        <w:spacing w:line="500" w:lineRule="exact"/>
        <w:ind w:firstLine="420"/>
        <w:rPr>
          <w:rFonts w:ascii="仿宋_GB2312" w:hAnsi="宋体" w:eastAsia="仿宋_GB2312" w:cs="Arial"/>
          <w:kern w:val="0"/>
          <w:sz w:val="24"/>
        </w:rPr>
      </w:pPr>
      <w:r>
        <w:rPr>
          <w:rFonts w:ascii="仿宋_GB2312" w:hAnsi="宋体" w:eastAsia="仿宋_GB2312" w:cs="Arial"/>
          <w:kern w:val="0"/>
          <w:sz w:val="24"/>
        </w:rPr>
        <w:t>1</w:t>
      </w:r>
      <w:r>
        <w:rPr>
          <w:rFonts w:hint="eastAsia" w:ascii="仿宋_GB2312" w:hAnsi="宋体" w:eastAsia="仿宋_GB2312" w:cs="Arial"/>
          <w:kern w:val="0"/>
          <w:sz w:val="24"/>
        </w:rPr>
        <w:t>．研究生奖助学金包括：研究生国家奖学金、研究生学业奖学金、拔尖博士生校长奖学金、研究生助学金、校级奖励金等。研究生奖助学金经费来源包括国家财政拨款、学校统筹经费、导师科研经费支出以及社会企事业单位捐赠的专项经费等。</w:t>
      </w:r>
    </w:p>
    <w:p>
      <w:pPr>
        <w:widowControl/>
        <w:spacing w:line="500" w:lineRule="exact"/>
        <w:ind w:firstLine="420"/>
        <w:rPr>
          <w:rFonts w:ascii="仿宋_GB2312" w:hAnsi="宋体" w:eastAsia="仿宋_GB2312" w:cs="Arial"/>
          <w:kern w:val="0"/>
          <w:sz w:val="24"/>
        </w:rPr>
      </w:pPr>
      <w:r>
        <w:rPr>
          <w:rFonts w:ascii="仿宋_GB2312" w:hAnsi="宋体" w:eastAsia="仿宋_GB2312" w:cs="Arial"/>
          <w:kern w:val="0"/>
          <w:sz w:val="24"/>
        </w:rPr>
        <w:t>2</w:t>
      </w:r>
      <w:r>
        <w:rPr>
          <w:rFonts w:hint="eastAsia" w:ascii="仿宋_GB2312" w:hAnsi="宋体" w:eastAsia="仿宋_GB2312" w:cs="Arial"/>
          <w:kern w:val="0"/>
          <w:sz w:val="24"/>
        </w:rPr>
        <w:t>．研究生国家奖学金、研究生学业奖学金、拔尖博士生校长奖学金、研究生助学金奖励资助对象为具有中华人民共和国国籍且纳入全国研究生招生计划的全日制非定向就业研究生。校级奖励金资助对象为具有中华人民共和国国籍且纳入全国研究生招生计划的非定向就业研究生。</w:t>
      </w:r>
      <w:r>
        <w:rPr>
          <w:rFonts w:ascii="仿宋_GB2312" w:hAnsi="宋体" w:eastAsia="仿宋_GB2312" w:cs="Arial"/>
          <w:kern w:val="0"/>
          <w:sz w:val="24"/>
        </w:rPr>
        <w:t xml:space="preserve"> </w:t>
      </w:r>
      <w:r>
        <w:rPr>
          <w:rFonts w:hint="eastAsia" w:ascii="仿宋_GB2312" w:hAnsi="宋体" w:eastAsia="仿宋_GB2312" w:cs="Arial"/>
          <w:kern w:val="0"/>
          <w:sz w:val="24"/>
        </w:rPr>
        <w:t>“强军计划”和“少数民族骨干人才计划”享受研究生助学金，在制定研究生学业奖学金配套文件时，对“强军计划”和“骨干计划”研究生予以倾斜。</w:t>
      </w:r>
    </w:p>
    <w:p>
      <w:pPr>
        <w:widowControl/>
        <w:spacing w:line="500" w:lineRule="exact"/>
        <w:ind w:firstLine="420"/>
        <w:rPr>
          <w:rFonts w:ascii="仿宋_GB2312" w:hAnsi="宋体" w:eastAsia="仿宋_GB2312" w:cs="Arial"/>
          <w:kern w:val="0"/>
          <w:sz w:val="24"/>
        </w:rPr>
      </w:pPr>
      <w:r>
        <w:rPr>
          <w:rFonts w:ascii="仿宋_GB2312" w:hAnsi="宋体" w:eastAsia="仿宋_GB2312" w:cs="Arial"/>
          <w:kern w:val="0"/>
          <w:sz w:val="24"/>
        </w:rPr>
        <w:t>3</w:t>
      </w:r>
      <w:r>
        <w:rPr>
          <w:rFonts w:hint="eastAsia" w:ascii="仿宋_GB2312" w:hAnsi="宋体" w:eastAsia="仿宋_GB2312" w:cs="Arial"/>
          <w:kern w:val="0"/>
          <w:sz w:val="24"/>
        </w:rPr>
        <w:t>．研究生可同时申报研究生学业奖学金、研究生国家奖学金、拔尖博士生校长奖学金和各项校级奖励金，但不能同时获得研究生国家奖学金和各项校级奖励金。</w:t>
      </w:r>
    </w:p>
    <w:p>
      <w:pPr>
        <w:widowControl/>
        <w:spacing w:line="500" w:lineRule="exact"/>
        <w:ind w:firstLine="420"/>
        <w:rPr>
          <w:rFonts w:ascii="仿宋_GB2312" w:hAnsi="宋体" w:eastAsia="仿宋_GB2312" w:cs="Arial"/>
          <w:kern w:val="0"/>
          <w:sz w:val="24"/>
        </w:rPr>
      </w:pPr>
      <w:r>
        <w:rPr>
          <w:rFonts w:ascii="仿宋_GB2312" w:hAnsi="宋体" w:eastAsia="仿宋_GB2312" w:cs="Arial"/>
          <w:kern w:val="0"/>
          <w:sz w:val="24"/>
        </w:rPr>
        <w:t>4</w:t>
      </w:r>
      <w:r>
        <w:rPr>
          <w:rFonts w:hint="eastAsia" w:ascii="仿宋_GB2312" w:hAnsi="宋体" w:eastAsia="仿宋_GB2312" w:cs="Arial"/>
          <w:kern w:val="0"/>
          <w:sz w:val="24"/>
        </w:rPr>
        <w:t>．非全日制研究生不享受研究生国家奖学金、研究生国家助学金、学校助学金、研究生学业奖学金等。。</w:t>
      </w:r>
    </w:p>
    <w:p>
      <w:pPr>
        <w:widowControl/>
        <w:spacing w:line="500" w:lineRule="exact"/>
        <w:ind w:firstLine="420"/>
        <w:rPr>
          <w:rFonts w:ascii="仿宋_GB2312" w:hAnsi="宋体" w:eastAsia="仿宋_GB2312" w:cs="Arial"/>
          <w:kern w:val="0"/>
          <w:sz w:val="24"/>
        </w:rPr>
      </w:pPr>
      <w:r>
        <w:rPr>
          <w:rFonts w:ascii="仿宋_GB2312" w:hAnsi="宋体" w:eastAsia="仿宋_GB2312" w:cs="Arial"/>
          <w:kern w:val="0"/>
          <w:sz w:val="24"/>
        </w:rPr>
        <w:t>5</w:t>
      </w:r>
      <w:r>
        <w:rPr>
          <w:rFonts w:hint="eastAsia" w:ascii="仿宋_GB2312" w:hAnsi="宋体" w:eastAsia="仿宋_GB2312" w:cs="Arial"/>
          <w:kern w:val="0"/>
          <w:sz w:val="24"/>
        </w:rPr>
        <w:t>．研究生学业奖学金按学年进行动态评定。一年级新生学业奖学金分</w:t>
      </w:r>
      <w:r>
        <w:rPr>
          <w:rFonts w:ascii="仿宋_GB2312" w:hAnsi="宋体" w:eastAsia="仿宋_GB2312" w:cs="Arial"/>
          <w:kern w:val="0"/>
          <w:sz w:val="24"/>
        </w:rPr>
        <w:t>2</w:t>
      </w:r>
      <w:r>
        <w:rPr>
          <w:rFonts w:hint="eastAsia" w:ascii="仿宋_GB2312" w:hAnsi="宋体" w:eastAsia="仿宋_GB2312" w:cs="Arial"/>
          <w:kern w:val="0"/>
          <w:sz w:val="24"/>
        </w:rPr>
        <w:t>个等级标准：推免生每生每年</w:t>
      </w:r>
      <w:r>
        <w:rPr>
          <w:rFonts w:ascii="仿宋_GB2312" w:hAnsi="宋体" w:eastAsia="仿宋_GB2312" w:cs="Arial"/>
          <w:kern w:val="0"/>
          <w:sz w:val="24"/>
        </w:rPr>
        <w:t>1</w:t>
      </w:r>
      <w:r>
        <w:rPr>
          <w:rFonts w:hint="eastAsia" w:ascii="仿宋_GB2312" w:hAnsi="宋体" w:eastAsia="仿宋_GB2312" w:cs="Arial"/>
          <w:kern w:val="0"/>
          <w:sz w:val="24"/>
        </w:rPr>
        <w:t>万元，非推免生每生每年</w:t>
      </w:r>
      <w:r>
        <w:rPr>
          <w:rFonts w:ascii="仿宋_GB2312" w:hAnsi="宋体" w:eastAsia="仿宋_GB2312" w:cs="Arial"/>
          <w:kern w:val="0"/>
          <w:sz w:val="24"/>
        </w:rPr>
        <w:t>0.8</w:t>
      </w:r>
      <w:r>
        <w:rPr>
          <w:rFonts w:hint="eastAsia" w:ascii="仿宋_GB2312" w:hAnsi="宋体" w:eastAsia="仿宋_GB2312" w:cs="Arial"/>
          <w:kern w:val="0"/>
          <w:sz w:val="24"/>
        </w:rPr>
        <w:t>万元；新生进校后第二、三学年将根据学习、科研等情况重新评定学业奖学金。高年级分</w:t>
      </w:r>
      <w:r>
        <w:rPr>
          <w:rFonts w:ascii="仿宋_GB2312" w:hAnsi="宋体" w:eastAsia="仿宋_GB2312" w:cs="Arial"/>
          <w:kern w:val="0"/>
          <w:sz w:val="24"/>
        </w:rPr>
        <w:t>3</w:t>
      </w:r>
      <w:r>
        <w:rPr>
          <w:rFonts w:hint="eastAsia" w:ascii="仿宋_GB2312" w:hAnsi="宋体" w:eastAsia="仿宋_GB2312" w:cs="Arial"/>
          <w:kern w:val="0"/>
          <w:sz w:val="24"/>
        </w:rPr>
        <w:t>个等级标准，一等奖每生每年</w:t>
      </w:r>
      <w:r>
        <w:rPr>
          <w:rFonts w:ascii="仿宋_GB2312" w:hAnsi="宋体" w:eastAsia="仿宋_GB2312" w:cs="Arial"/>
          <w:kern w:val="0"/>
          <w:sz w:val="24"/>
        </w:rPr>
        <w:t>1.2</w:t>
      </w:r>
      <w:r>
        <w:rPr>
          <w:rFonts w:hint="eastAsia" w:ascii="仿宋_GB2312" w:hAnsi="宋体" w:eastAsia="仿宋_GB2312" w:cs="Arial"/>
          <w:kern w:val="0"/>
          <w:sz w:val="24"/>
        </w:rPr>
        <w:t>万元，二等奖每生每年</w:t>
      </w:r>
      <w:r>
        <w:rPr>
          <w:rFonts w:ascii="仿宋_GB2312" w:hAnsi="宋体" w:eastAsia="仿宋_GB2312" w:cs="Arial"/>
          <w:kern w:val="0"/>
          <w:sz w:val="24"/>
        </w:rPr>
        <w:t>0.8</w:t>
      </w:r>
      <w:r>
        <w:rPr>
          <w:rFonts w:hint="eastAsia" w:ascii="仿宋_GB2312" w:hAnsi="宋体" w:eastAsia="仿宋_GB2312" w:cs="Arial"/>
          <w:kern w:val="0"/>
          <w:sz w:val="24"/>
        </w:rPr>
        <w:t>万元，三等奖每生每年</w:t>
      </w:r>
      <w:r>
        <w:rPr>
          <w:rFonts w:ascii="仿宋_GB2312" w:hAnsi="宋体" w:eastAsia="仿宋_GB2312" w:cs="Arial"/>
          <w:kern w:val="0"/>
          <w:sz w:val="24"/>
        </w:rPr>
        <w:t>0.5</w:t>
      </w:r>
      <w:r>
        <w:rPr>
          <w:rFonts w:hint="eastAsia" w:ascii="仿宋_GB2312" w:hAnsi="宋体" w:eastAsia="仿宋_GB2312" w:cs="Arial"/>
          <w:kern w:val="0"/>
          <w:sz w:val="24"/>
        </w:rPr>
        <w:t>万元。具体设置等级及奖励标准见下表。</w:t>
      </w:r>
    </w:p>
    <w:p>
      <w:pPr>
        <w:spacing w:line="400" w:lineRule="exact"/>
        <w:ind w:firstLine="600"/>
        <w:rPr>
          <w:rFonts w:ascii="宋体" w:cs="仿宋_GB2312"/>
          <w:b/>
          <w:sz w:val="24"/>
        </w:rPr>
      </w:pPr>
      <w:r>
        <w:rPr>
          <w:rFonts w:hint="eastAsia" w:ascii="宋体" w:hAnsi="宋体" w:cs="仿宋_GB2312"/>
          <w:szCs w:val="21"/>
        </w:rPr>
        <w:t>　</w:t>
      </w:r>
      <w:r>
        <w:rPr>
          <w:rFonts w:ascii="宋体" w:hAnsi="宋体" w:cs="仿宋_GB2312"/>
          <w:szCs w:val="21"/>
        </w:rPr>
        <w:t xml:space="preserve">                    </w:t>
      </w:r>
      <w:r>
        <w:rPr>
          <w:rFonts w:ascii="宋体" w:hAnsi="宋体" w:cs="仿宋_GB2312"/>
          <w:b/>
          <w:szCs w:val="21"/>
        </w:rPr>
        <w:t xml:space="preserve">  </w:t>
      </w:r>
      <w:r>
        <w:rPr>
          <w:rFonts w:ascii="宋体" w:hAnsi="宋体" w:cs="仿宋_GB2312"/>
          <w:b/>
          <w:sz w:val="24"/>
        </w:rPr>
        <w:t xml:space="preserve"> </w:t>
      </w:r>
      <w:r>
        <w:rPr>
          <w:rFonts w:hint="eastAsia" w:ascii="宋体" w:hAnsi="宋体" w:cs="仿宋_GB2312"/>
          <w:b/>
          <w:sz w:val="24"/>
        </w:rPr>
        <w:t>研究生学业奖学金设置等级及标准</w:t>
      </w:r>
    </w:p>
    <w:tbl>
      <w:tblPr>
        <w:tblStyle w:val="4"/>
        <w:tblW w:w="7938" w:type="dxa"/>
        <w:tblInd w:w="9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7"/>
        <w:gridCol w:w="1276"/>
        <w:gridCol w:w="1701"/>
        <w:gridCol w:w="1417"/>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2693" w:type="dxa"/>
            <w:gridSpan w:val="2"/>
            <w:vAlign w:val="center"/>
          </w:tcPr>
          <w:p>
            <w:pPr>
              <w:jc w:val="center"/>
            </w:pPr>
            <w:r>
              <w:rPr>
                <w:rFonts w:hint="eastAsia"/>
              </w:rPr>
              <w:t>培养类别</w:t>
            </w:r>
          </w:p>
        </w:tc>
        <w:tc>
          <w:tcPr>
            <w:tcW w:w="1701" w:type="dxa"/>
            <w:vAlign w:val="center"/>
          </w:tcPr>
          <w:p>
            <w:pPr>
              <w:jc w:val="center"/>
            </w:pPr>
            <w:r>
              <w:rPr>
                <w:rFonts w:hint="eastAsia"/>
              </w:rPr>
              <w:t>等级</w:t>
            </w:r>
          </w:p>
        </w:tc>
        <w:tc>
          <w:tcPr>
            <w:tcW w:w="1417" w:type="dxa"/>
            <w:vAlign w:val="center"/>
          </w:tcPr>
          <w:p>
            <w:pPr>
              <w:jc w:val="center"/>
            </w:pPr>
            <w:r>
              <w:rPr>
                <w:rFonts w:hint="eastAsia"/>
              </w:rPr>
              <w:t>获奖比例</w:t>
            </w:r>
          </w:p>
        </w:tc>
        <w:tc>
          <w:tcPr>
            <w:tcW w:w="2127" w:type="dxa"/>
            <w:vAlign w:val="center"/>
          </w:tcPr>
          <w:p>
            <w:pPr>
              <w:jc w:val="center"/>
            </w:pPr>
            <w:r>
              <w:rPr>
                <w:rFonts w:hint="eastAsia"/>
              </w:rPr>
              <w:t>奖励标准（万元）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1417" w:type="dxa"/>
            <w:vMerge w:val="restart"/>
            <w:tcBorders>
              <w:right w:val="single" w:color="auto" w:sz="4" w:space="0"/>
            </w:tcBorders>
            <w:vAlign w:val="center"/>
          </w:tcPr>
          <w:p>
            <w:pPr>
              <w:jc w:val="center"/>
            </w:pPr>
            <w:r>
              <w:rPr>
                <w:rFonts w:hint="eastAsia"/>
              </w:rPr>
              <w:t>全日制</w:t>
            </w:r>
          </w:p>
          <w:p>
            <w:pPr>
              <w:jc w:val="center"/>
            </w:pPr>
            <w:r>
              <w:rPr>
                <w:rFonts w:hint="eastAsia"/>
              </w:rPr>
              <w:t>硕士研究生</w:t>
            </w:r>
          </w:p>
        </w:tc>
        <w:tc>
          <w:tcPr>
            <w:tcW w:w="1276" w:type="dxa"/>
            <w:vMerge w:val="restart"/>
            <w:tcBorders>
              <w:left w:val="single" w:color="auto" w:sz="4" w:space="0"/>
            </w:tcBorders>
            <w:vAlign w:val="center"/>
          </w:tcPr>
          <w:p>
            <w:pPr>
              <w:jc w:val="center"/>
            </w:pPr>
            <w:r>
              <w:rPr>
                <w:rFonts w:hint="eastAsia"/>
              </w:rPr>
              <w:t>新生</w:t>
            </w:r>
          </w:p>
        </w:tc>
        <w:tc>
          <w:tcPr>
            <w:tcW w:w="1701" w:type="dxa"/>
            <w:vAlign w:val="center"/>
          </w:tcPr>
          <w:p>
            <w:pPr>
              <w:jc w:val="center"/>
            </w:pPr>
            <w:r>
              <w:rPr>
                <w:rFonts w:hint="eastAsia"/>
              </w:rPr>
              <w:t>推免生</w:t>
            </w:r>
          </w:p>
        </w:tc>
        <w:tc>
          <w:tcPr>
            <w:tcW w:w="1417" w:type="dxa"/>
            <w:vAlign w:val="center"/>
          </w:tcPr>
          <w:p>
            <w:pPr>
              <w:jc w:val="center"/>
            </w:pPr>
          </w:p>
        </w:tc>
        <w:tc>
          <w:tcPr>
            <w:tcW w:w="2127" w:type="dxa"/>
            <w:vAlign w:val="center"/>
          </w:tcPr>
          <w:p>
            <w:pPr>
              <w:jc w:val="center"/>
            </w:pPr>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1417" w:type="dxa"/>
            <w:vMerge w:val="continue"/>
            <w:tcBorders>
              <w:right w:val="single" w:color="auto" w:sz="4" w:space="0"/>
            </w:tcBorders>
            <w:vAlign w:val="center"/>
          </w:tcPr>
          <w:p>
            <w:pPr>
              <w:jc w:val="center"/>
            </w:pPr>
          </w:p>
        </w:tc>
        <w:tc>
          <w:tcPr>
            <w:tcW w:w="1276" w:type="dxa"/>
            <w:vMerge w:val="continue"/>
            <w:tcBorders>
              <w:left w:val="single" w:color="auto" w:sz="4" w:space="0"/>
              <w:bottom w:val="single" w:color="auto" w:sz="4" w:space="0"/>
            </w:tcBorders>
            <w:vAlign w:val="center"/>
          </w:tcPr>
          <w:p>
            <w:pPr>
              <w:jc w:val="center"/>
            </w:pPr>
          </w:p>
        </w:tc>
        <w:tc>
          <w:tcPr>
            <w:tcW w:w="1701" w:type="dxa"/>
            <w:vAlign w:val="center"/>
          </w:tcPr>
          <w:p>
            <w:pPr>
              <w:jc w:val="center"/>
            </w:pPr>
            <w:r>
              <w:rPr>
                <w:rFonts w:hint="eastAsia"/>
              </w:rPr>
              <w:t>非推免生</w:t>
            </w:r>
          </w:p>
        </w:tc>
        <w:tc>
          <w:tcPr>
            <w:tcW w:w="1417" w:type="dxa"/>
            <w:vAlign w:val="center"/>
          </w:tcPr>
          <w:p>
            <w:pPr>
              <w:jc w:val="center"/>
            </w:pPr>
          </w:p>
        </w:tc>
        <w:tc>
          <w:tcPr>
            <w:tcW w:w="2127" w:type="dxa"/>
            <w:vAlign w:val="center"/>
          </w:tcPr>
          <w:p>
            <w:pPr>
              <w:jc w:val="center"/>
            </w:pPr>
            <w: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1417" w:type="dxa"/>
            <w:vMerge w:val="continue"/>
            <w:tcBorders>
              <w:right w:val="single" w:color="auto" w:sz="4" w:space="0"/>
            </w:tcBorders>
            <w:vAlign w:val="center"/>
          </w:tcPr>
          <w:p>
            <w:pPr>
              <w:jc w:val="center"/>
            </w:pPr>
          </w:p>
        </w:tc>
        <w:tc>
          <w:tcPr>
            <w:tcW w:w="1276" w:type="dxa"/>
            <w:vMerge w:val="restart"/>
            <w:tcBorders>
              <w:top w:val="single" w:color="auto" w:sz="4" w:space="0"/>
              <w:left w:val="single" w:color="auto" w:sz="4" w:space="0"/>
            </w:tcBorders>
            <w:vAlign w:val="center"/>
          </w:tcPr>
          <w:p>
            <w:pPr>
              <w:jc w:val="center"/>
            </w:pPr>
            <w:r>
              <w:rPr>
                <w:rFonts w:hint="eastAsia"/>
              </w:rPr>
              <w:t>高年级</w:t>
            </w:r>
          </w:p>
        </w:tc>
        <w:tc>
          <w:tcPr>
            <w:tcW w:w="1701" w:type="dxa"/>
            <w:vAlign w:val="center"/>
          </w:tcPr>
          <w:p>
            <w:pPr>
              <w:jc w:val="center"/>
            </w:pPr>
            <w:r>
              <w:rPr>
                <w:rFonts w:hint="eastAsia"/>
              </w:rPr>
              <w:t>一等</w:t>
            </w:r>
          </w:p>
        </w:tc>
        <w:tc>
          <w:tcPr>
            <w:tcW w:w="1417" w:type="dxa"/>
            <w:vAlign w:val="center"/>
          </w:tcPr>
          <w:p>
            <w:pPr>
              <w:jc w:val="center"/>
            </w:pPr>
            <w:r>
              <w:t>30%</w:t>
            </w:r>
          </w:p>
        </w:tc>
        <w:tc>
          <w:tcPr>
            <w:tcW w:w="2127" w:type="dxa"/>
            <w:vAlign w:val="center"/>
          </w:tcPr>
          <w:p>
            <w:pPr>
              <w:jc w:val="center"/>
            </w:pPr>
            <w: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1417" w:type="dxa"/>
            <w:vMerge w:val="continue"/>
            <w:tcBorders>
              <w:right w:val="single" w:color="auto" w:sz="4" w:space="0"/>
            </w:tcBorders>
            <w:vAlign w:val="center"/>
          </w:tcPr>
          <w:p/>
        </w:tc>
        <w:tc>
          <w:tcPr>
            <w:tcW w:w="1276" w:type="dxa"/>
            <w:vMerge w:val="continue"/>
            <w:tcBorders>
              <w:left w:val="single" w:color="auto" w:sz="4" w:space="0"/>
            </w:tcBorders>
            <w:vAlign w:val="center"/>
          </w:tcPr>
          <w:p/>
        </w:tc>
        <w:tc>
          <w:tcPr>
            <w:tcW w:w="1701" w:type="dxa"/>
            <w:vAlign w:val="center"/>
          </w:tcPr>
          <w:p>
            <w:pPr>
              <w:jc w:val="center"/>
            </w:pPr>
            <w:r>
              <w:rPr>
                <w:rFonts w:hint="eastAsia"/>
              </w:rPr>
              <w:t>二等</w:t>
            </w:r>
          </w:p>
        </w:tc>
        <w:tc>
          <w:tcPr>
            <w:tcW w:w="1417" w:type="dxa"/>
            <w:vAlign w:val="center"/>
          </w:tcPr>
          <w:p>
            <w:pPr>
              <w:jc w:val="center"/>
            </w:pPr>
            <w:r>
              <w:t>60%</w:t>
            </w:r>
          </w:p>
        </w:tc>
        <w:tc>
          <w:tcPr>
            <w:tcW w:w="2127" w:type="dxa"/>
            <w:vAlign w:val="center"/>
          </w:tcPr>
          <w:p>
            <w:pPr>
              <w:jc w:val="center"/>
            </w:pPr>
            <w: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trPr>
        <w:tc>
          <w:tcPr>
            <w:tcW w:w="1417" w:type="dxa"/>
            <w:vMerge w:val="continue"/>
            <w:tcBorders>
              <w:right w:val="single" w:color="auto" w:sz="4" w:space="0"/>
            </w:tcBorders>
            <w:vAlign w:val="center"/>
          </w:tcPr>
          <w:p/>
        </w:tc>
        <w:tc>
          <w:tcPr>
            <w:tcW w:w="1276" w:type="dxa"/>
            <w:vMerge w:val="continue"/>
            <w:tcBorders>
              <w:left w:val="single" w:color="auto" w:sz="4" w:space="0"/>
            </w:tcBorders>
            <w:vAlign w:val="center"/>
          </w:tcPr>
          <w:p/>
        </w:tc>
        <w:tc>
          <w:tcPr>
            <w:tcW w:w="1701" w:type="dxa"/>
            <w:vAlign w:val="center"/>
          </w:tcPr>
          <w:p>
            <w:pPr>
              <w:jc w:val="center"/>
            </w:pPr>
            <w:r>
              <w:rPr>
                <w:rFonts w:hint="eastAsia"/>
              </w:rPr>
              <w:t>三等</w:t>
            </w:r>
          </w:p>
        </w:tc>
        <w:tc>
          <w:tcPr>
            <w:tcW w:w="1417" w:type="dxa"/>
            <w:vAlign w:val="center"/>
          </w:tcPr>
          <w:p>
            <w:pPr>
              <w:jc w:val="center"/>
            </w:pPr>
            <w:r>
              <w:t>10%</w:t>
            </w:r>
          </w:p>
        </w:tc>
        <w:tc>
          <w:tcPr>
            <w:tcW w:w="2127" w:type="dxa"/>
            <w:vAlign w:val="center"/>
          </w:tcPr>
          <w:p>
            <w:pPr>
              <w:jc w:val="center"/>
            </w:pPr>
            <w:r>
              <w:t>0.5</w:t>
            </w:r>
          </w:p>
        </w:tc>
      </w:tr>
    </w:tbl>
    <w:p>
      <w:pPr>
        <w:widowControl/>
        <w:spacing w:line="500" w:lineRule="exact"/>
        <w:ind w:firstLine="420"/>
        <w:rPr>
          <w:rFonts w:ascii="仿宋_GB2312" w:hAnsi="宋体" w:eastAsia="仿宋_GB2312" w:cs="Arial"/>
          <w:kern w:val="0"/>
          <w:sz w:val="24"/>
        </w:rPr>
      </w:pPr>
      <w:r>
        <w:rPr>
          <w:rFonts w:ascii="仿宋_GB2312" w:hAnsi="宋体" w:eastAsia="仿宋_GB2312" w:cs="Arial"/>
          <w:kern w:val="0"/>
          <w:sz w:val="24"/>
        </w:rPr>
        <w:t>6</w:t>
      </w:r>
      <w:r>
        <w:rPr>
          <w:rFonts w:hint="eastAsia" w:ascii="仿宋_GB2312" w:hAnsi="宋体" w:eastAsia="仿宋_GB2312" w:cs="Arial"/>
          <w:kern w:val="0"/>
          <w:sz w:val="24"/>
        </w:rPr>
        <w:t>、全日制全脱产研究生（人事档案和工资关系转入学校、含“强军计划”、“骨干计划”考生）可享受研究生国家助学金：推免生为</w:t>
      </w:r>
      <w:r>
        <w:rPr>
          <w:rFonts w:ascii="仿宋_GB2312" w:hAnsi="宋体" w:eastAsia="仿宋_GB2312" w:cs="Arial"/>
          <w:kern w:val="0"/>
          <w:sz w:val="24"/>
        </w:rPr>
        <w:t>8000</w:t>
      </w:r>
      <w:r>
        <w:rPr>
          <w:rFonts w:hint="eastAsia" w:ascii="仿宋_GB2312" w:hAnsi="宋体" w:eastAsia="仿宋_GB2312" w:cs="Arial"/>
          <w:kern w:val="0"/>
          <w:sz w:val="24"/>
        </w:rPr>
        <w:t>元</w:t>
      </w:r>
      <w:r>
        <w:rPr>
          <w:rFonts w:ascii="仿宋_GB2312" w:hAnsi="宋体" w:eastAsia="仿宋_GB2312" w:cs="Arial"/>
          <w:kern w:val="0"/>
          <w:sz w:val="24"/>
        </w:rPr>
        <w:t>/</w:t>
      </w:r>
      <w:r>
        <w:rPr>
          <w:rFonts w:hint="eastAsia" w:ascii="仿宋_GB2312" w:hAnsi="宋体" w:eastAsia="仿宋_GB2312" w:cs="Arial"/>
          <w:kern w:val="0"/>
          <w:sz w:val="24"/>
        </w:rPr>
        <w:t>生</w:t>
      </w:r>
      <w:r>
        <w:rPr>
          <w:rFonts w:ascii="仿宋_GB2312" w:hAnsi="宋体" w:eastAsia="仿宋_GB2312" w:cs="Arial"/>
          <w:kern w:val="0"/>
          <w:sz w:val="24"/>
        </w:rPr>
        <w:t>.</w:t>
      </w:r>
      <w:r>
        <w:rPr>
          <w:rFonts w:hint="eastAsia" w:ascii="仿宋_GB2312" w:hAnsi="宋体" w:eastAsia="仿宋_GB2312" w:cs="Arial"/>
          <w:kern w:val="0"/>
          <w:sz w:val="24"/>
        </w:rPr>
        <w:t>年；非推免生为</w:t>
      </w:r>
      <w:r>
        <w:rPr>
          <w:rFonts w:ascii="仿宋_GB2312" w:hAnsi="宋体" w:eastAsia="仿宋_GB2312" w:cs="Arial"/>
          <w:kern w:val="0"/>
          <w:sz w:val="24"/>
        </w:rPr>
        <w:t>6000</w:t>
      </w:r>
      <w:r>
        <w:rPr>
          <w:rFonts w:hint="eastAsia" w:ascii="仿宋_GB2312" w:hAnsi="宋体" w:eastAsia="仿宋_GB2312" w:cs="Arial"/>
          <w:kern w:val="0"/>
          <w:sz w:val="24"/>
        </w:rPr>
        <w:t>元</w:t>
      </w:r>
      <w:r>
        <w:rPr>
          <w:rFonts w:ascii="仿宋_GB2312" w:hAnsi="宋体" w:eastAsia="仿宋_GB2312" w:cs="Arial"/>
          <w:kern w:val="0"/>
          <w:sz w:val="24"/>
        </w:rPr>
        <w:t>/</w:t>
      </w:r>
      <w:r>
        <w:rPr>
          <w:rFonts w:hint="eastAsia" w:ascii="仿宋_GB2312" w:hAnsi="宋体" w:eastAsia="仿宋_GB2312" w:cs="Arial"/>
          <w:kern w:val="0"/>
          <w:sz w:val="24"/>
        </w:rPr>
        <w:t>生</w:t>
      </w:r>
      <w:r>
        <w:rPr>
          <w:rFonts w:ascii="仿宋_GB2312" w:hAnsi="宋体" w:eastAsia="仿宋_GB2312" w:cs="Arial"/>
          <w:kern w:val="0"/>
          <w:sz w:val="24"/>
        </w:rPr>
        <w:t>.</w:t>
      </w:r>
      <w:r>
        <w:rPr>
          <w:rFonts w:hint="eastAsia" w:ascii="仿宋_GB2312" w:hAnsi="宋体" w:eastAsia="仿宋_GB2312" w:cs="Arial"/>
          <w:kern w:val="0"/>
          <w:sz w:val="24"/>
        </w:rPr>
        <w:t>年。</w:t>
      </w:r>
    </w:p>
    <w:p>
      <w:pPr>
        <w:widowControl/>
        <w:spacing w:line="500" w:lineRule="exact"/>
        <w:ind w:firstLine="420"/>
        <w:rPr>
          <w:rFonts w:ascii="仿宋_GB2312" w:hAnsi="宋体" w:eastAsia="仿宋_GB2312" w:cs="Arial"/>
          <w:kern w:val="0"/>
          <w:sz w:val="24"/>
        </w:rPr>
      </w:pPr>
      <w:r>
        <w:rPr>
          <w:rFonts w:ascii="仿宋_GB2312" w:hAnsi="宋体" w:eastAsia="仿宋_GB2312" w:cs="Arial"/>
          <w:kern w:val="0"/>
          <w:sz w:val="24"/>
        </w:rPr>
        <w:t>7</w:t>
      </w:r>
      <w:r>
        <w:rPr>
          <w:rFonts w:hint="eastAsia" w:ascii="仿宋_GB2312" w:hAnsi="宋体" w:eastAsia="仿宋_GB2312" w:cs="Arial"/>
          <w:kern w:val="0"/>
          <w:sz w:val="24"/>
        </w:rPr>
        <w:t>、获得奖学金的新生须按录取通知书中规定的时间先缴纳学费，入学后学校根据录取时确定的奖学金等级发放奖学金，但人事档案、工资关系未按时转入我校的新生，将被取消奖、助学金。</w:t>
      </w:r>
    </w:p>
    <w:p>
      <w:pPr>
        <w:widowControl/>
        <w:spacing w:line="500" w:lineRule="exact"/>
        <w:ind w:firstLine="420"/>
        <w:rPr>
          <w:rFonts w:ascii="仿宋_GB2312" w:hAnsi="宋体" w:eastAsia="仿宋_GB2312" w:cs="Arial"/>
          <w:kern w:val="0"/>
          <w:sz w:val="24"/>
        </w:rPr>
      </w:pPr>
      <w:r>
        <w:rPr>
          <w:rFonts w:ascii="仿宋_GB2312" w:hAnsi="宋体" w:eastAsia="仿宋_GB2312" w:cs="Arial"/>
          <w:kern w:val="0"/>
          <w:sz w:val="24"/>
        </w:rPr>
        <w:t>8</w:t>
      </w:r>
      <w:r>
        <w:rPr>
          <w:rFonts w:hint="eastAsia" w:ascii="仿宋_GB2312" w:hAnsi="宋体" w:eastAsia="仿宋_GB2312" w:cs="Arial"/>
          <w:kern w:val="0"/>
          <w:sz w:val="24"/>
        </w:rPr>
        <w:t>、</w:t>
      </w:r>
      <w:r>
        <w:rPr>
          <w:rFonts w:ascii="仿宋_GB2312" w:hAnsi="宋体" w:eastAsia="仿宋_GB2312" w:cs="Arial"/>
          <w:kern w:val="0"/>
          <w:sz w:val="24"/>
        </w:rPr>
        <w:t>2019</w:t>
      </w:r>
      <w:r>
        <w:rPr>
          <w:rFonts w:hint="eastAsia" w:ascii="仿宋_GB2312" w:hAnsi="宋体" w:eastAsia="仿宋_GB2312" w:cs="Arial"/>
          <w:kern w:val="0"/>
          <w:sz w:val="24"/>
        </w:rPr>
        <w:t>年全日制、非全日制硕士研究生收费标准如下：</w:t>
      </w:r>
    </w:p>
    <w:tbl>
      <w:tblPr>
        <w:tblStyle w:val="4"/>
        <w:tblW w:w="9603" w:type="dxa"/>
        <w:tblInd w:w="0" w:type="dxa"/>
        <w:tblLayout w:type="fixed"/>
        <w:tblCellMar>
          <w:top w:w="0" w:type="dxa"/>
          <w:left w:w="108" w:type="dxa"/>
          <w:bottom w:w="0" w:type="dxa"/>
          <w:right w:w="108" w:type="dxa"/>
        </w:tblCellMar>
      </w:tblPr>
      <w:tblGrid>
        <w:gridCol w:w="1638"/>
        <w:gridCol w:w="169"/>
        <w:gridCol w:w="1701"/>
        <w:gridCol w:w="707"/>
        <w:gridCol w:w="315"/>
        <w:gridCol w:w="537"/>
        <w:gridCol w:w="2263"/>
        <w:gridCol w:w="2273"/>
      </w:tblGrid>
      <w:tr>
        <w:tblPrEx>
          <w:tblLayout w:type="fixed"/>
          <w:tblCellMar>
            <w:top w:w="0" w:type="dxa"/>
            <w:left w:w="108" w:type="dxa"/>
            <w:bottom w:w="0" w:type="dxa"/>
            <w:right w:w="108" w:type="dxa"/>
          </w:tblCellMar>
        </w:tblPrEx>
        <w:trPr>
          <w:trHeight w:val="284" w:hRule="atLeast"/>
        </w:trPr>
        <w:tc>
          <w:tcPr>
            <w:tcW w:w="7330" w:type="dxa"/>
            <w:gridSpan w:val="7"/>
            <w:tcBorders>
              <w:top w:val="single" w:color="auto" w:sz="4" w:space="0"/>
              <w:left w:val="single" w:color="auto" w:sz="4" w:space="0"/>
              <w:bottom w:val="single" w:color="auto" w:sz="4" w:space="0"/>
              <w:right w:val="single" w:color="000000" w:sz="4" w:space="0"/>
            </w:tcBorders>
          </w:tcPr>
          <w:p>
            <w:pPr>
              <w:widowControl/>
              <w:ind w:firstLine="360" w:firstLineChars="200"/>
              <w:jc w:val="center"/>
              <w:rPr>
                <w:rFonts w:ascii="宋体" w:cs="宋体"/>
                <w:sz w:val="18"/>
                <w:szCs w:val="18"/>
              </w:rPr>
            </w:pPr>
            <w:r>
              <w:rPr>
                <w:rFonts w:hint="eastAsia" w:ascii="宋体" w:hAnsi="宋体" w:cs="宋体"/>
                <w:sz w:val="18"/>
                <w:szCs w:val="18"/>
              </w:rPr>
              <w:t>收费项目</w:t>
            </w:r>
          </w:p>
        </w:tc>
        <w:tc>
          <w:tcPr>
            <w:tcW w:w="227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ind w:firstLine="360" w:firstLineChars="200"/>
              <w:rPr>
                <w:rFonts w:ascii="宋体" w:cs="宋体"/>
                <w:sz w:val="18"/>
                <w:szCs w:val="18"/>
              </w:rPr>
            </w:pPr>
            <w:r>
              <w:rPr>
                <w:rFonts w:hint="eastAsia" w:ascii="宋体" w:hAnsi="宋体" w:cs="宋体"/>
                <w:sz w:val="18"/>
                <w:szCs w:val="18"/>
              </w:rPr>
              <w:t>标准（元</w:t>
            </w:r>
            <w:r>
              <w:rPr>
                <w:rFonts w:ascii="宋体" w:hAnsi="宋体" w:cs="宋体"/>
                <w:sz w:val="18"/>
                <w:szCs w:val="18"/>
              </w:rPr>
              <w:t>/</w:t>
            </w:r>
            <w:r>
              <w:rPr>
                <w:rFonts w:hint="eastAsia" w:ascii="宋体" w:hAnsi="宋体" w:cs="宋体"/>
                <w:sz w:val="18"/>
                <w:szCs w:val="18"/>
              </w:rPr>
              <w:t>生</w:t>
            </w:r>
            <w:r>
              <w:rPr>
                <w:rFonts w:ascii="宋体" w:cs="宋体"/>
                <w:sz w:val="18"/>
                <w:szCs w:val="18"/>
              </w:rPr>
              <w:t>.</w:t>
            </w:r>
            <w:r>
              <w:rPr>
                <w:rFonts w:hint="eastAsia" w:ascii="宋体" w:hAnsi="宋体" w:cs="宋体"/>
                <w:sz w:val="18"/>
                <w:szCs w:val="18"/>
              </w:rPr>
              <w:t>年）</w:t>
            </w:r>
          </w:p>
        </w:tc>
      </w:tr>
      <w:tr>
        <w:tblPrEx>
          <w:tblLayout w:type="fixed"/>
          <w:tblCellMar>
            <w:top w:w="0" w:type="dxa"/>
            <w:left w:w="108" w:type="dxa"/>
            <w:bottom w:w="0" w:type="dxa"/>
            <w:right w:w="108" w:type="dxa"/>
          </w:tblCellMar>
        </w:tblPrEx>
        <w:trPr>
          <w:trHeight w:val="284" w:hRule="atLeast"/>
        </w:trPr>
        <w:tc>
          <w:tcPr>
            <w:tcW w:w="1638" w:type="dxa"/>
            <w:tcBorders>
              <w:top w:val="nil"/>
              <w:left w:val="single" w:color="auto" w:sz="4" w:space="0"/>
              <w:bottom w:val="single" w:color="auto" w:sz="4" w:space="0"/>
              <w:right w:val="single" w:color="auto" w:sz="4" w:space="0"/>
            </w:tcBorders>
            <w:shd w:val="clear" w:color="000000" w:fill="FFFFFF"/>
            <w:vAlign w:val="center"/>
          </w:tcPr>
          <w:p>
            <w:pPr>
              <w:widowControl/>
              <w:ind w:firstLine="360" w:firstLineChars="200"/>
              <w:rPr>
                <w:rFonts w:ascii="宋体" w:cs="宋体"/>
                <w:sz w:val="18"/>
                <w:szCs w:val="18"/>
              </w:rPr>
            </w:pPr>
            <w:r>
              <w:rPr>
                <w:rFonts w:hint="eastAsia" w:ascii="宋体" w:hAnsi="宋体" w:cs="宋体"/>
                <w:sz w:val="18"/>
                <w:szCs w:val="18"/>
              </w:rPr>
              <w:t>学位类型</w:t>
            </w:r>
          </w:p>
        </w:tc>
        <w:tc>
          <w:tcPr>
            <w:tcW w:w="2577" w:type="dxa"/>
            <w:gridSpan w:val="3"/>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cs="宋体"/>
                <w:sz w:val="18"/>
                <w:szCs w:val="18"/>
              </w:rPr>
            </w:pPr>
            <w:r>
              <w:rPr>
                <w:rFonts w:hint="eastAsia" w:ascii="宋体" w:hAnsi="宋体" w:cs="宋体"/>
                <w:sz w:val="18"/>
                <w:szCs w:val="18"/>
              </w:rPr>
              <w:t>学科大类</w:t>
            </w:r>
          </w:p>
        </w:tc>
        <w:tc>
          <w:tcPr>
            <w:tcW w:w="3115" w:type="dxa"/>
            <w:gridSpan w:val="3"/>
            <w:tcBorders>
              <w:top w:val="single" w:color="auto" w:sz="4" w:space="0"/>
              <w:left w:val="nil"/>
              <w:bottom w:val="single" w:color="auto" w:sz="4" w:space="0"/>
              <w:right w:val="single" w:color="auto" w:sz="4" w:space="0"/>
            </w:tcBorders>
            <w:shd w:val="clear" w:color="000000" w:fill="FFFFFF"/>
            <w:vAlign w:val="center"/>
          </w:tcPr>
          <w:p>
            <w:pPr>
              <w:widowControl/>
              <w:ind w:firstLine="360" w:firstLineChars="200"/>
              <w:rPr>
                <w:rFonts w:ascii="宋体" w:cs="宋体"/>
                <w:sz w:val="18"/>
                <w:szCs w:val="18"/>
              </w:rPr>
            </w:pPr>
            <w:r>
              <w:rPr>
                <w:rFonts w:hint="eastAsia" w:ascii="宋体" w:hAnsi="宋体" w:cs="宋体"/>
                <w:sz w:val="18"/>
                <w:szCs w:val="18"/>
              </w:rPr>
              <w:t>一级学科（领域）</w:t>
            </w:r>
          </w:p>
        </w:tc>
        <w:tc>
          <w:tcPr>
            <w:tcW w:w="2273" w:type="dxa"/>
            <w:vMerge w:val="continue"/>
            <w:tcBorders>
              <w:top w:val="single" w:color="auto" w:sz="4" w:space="0"/>
              <w:left w:val="single" w:color="auto" w:sz="4" w:space="0"/>
              <w:bottom w:val="single" w:color="000000" w:sz="4" w:space="0"/>
              <w:right w:val="single" w:color="auto" w:sz="4" w:space="0"/>
            </w:tcBorders>
            <w:vAlign w:val="center"/>
          </w:tcPr>
          <w:p>
            <w:pPr>
              <w:widowControl/>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7330" w:type="dxa"/>
            <w:gridSpan w:val="7"/>
            <w:tcBorders>
              <w:top w:val="single" w:color="auto" w:sz="4" w:space="0"/>
              <w:left w:val="single" w:color="auto" w:sz="4" w:space="0"/>
              <w:bottom w:val="single" w:color="auto" w:sz="4" w:space="0"/>
              <w:right w:val="single" w:color="000000" w:sz="4" w:space="0"/>
            </w:tcBorders>
            <w:shd w:val="clear" w:color="000000" w:fill="FFFFFF"/>
            <w:vAlign w:val="center"/>
          </w:tcPr>
          <w:p>
            <w:pPr>
              <w:widowControl/>
              <w:ind w:firstLine="360" w:firstLineChars="200"/>
              <w:rPr>
                <w:rFonts w:ascii="宋体" w:cs="宋体"/>
                <w:sz w:val="18"/>
                <w:szCs w:val="18"/>
              </w:rPr>
            </w:pPr>
            <w:r>
              <w:rPr>
                <w:rFonts w:hint="eastAsia" w:ascii="宋体" w:hAnsi="宋体" w:cs="宋体"/>
                <w:sz w:val="18"/>
                <w:szCs w:val="18"/>
              </w:rPr>
              <w:t>一、全日制学术型硕士研究生</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8000</w:t>
            </w:r>
          </w:p>
        </w:tc>
      </w:tr>
      <w:tr>
        <w:tblPrEx>
          <w:tblLayout w:type="fixed"/>
          <w:tblCellMar>
            <w:top w:w="0" w:type="dxa"/>
            <w:left w:w="108" w:type="dxa"/>
            <w:bottom w:w="0" w:type="dxa"/>
            <w:right w:w="108" w:type="dxa"/>
          </w:tblCellMar>
        </w:tblPrEx>
        <w:trPr>
          <w:trHeight w:val="284" w:hRule="atLeast"/>
        </w:trPr>
        <w:tc>
          <w:tcPr>
            <w:tcW w:w="1807" w:type="dxa"/>
            <w:gridSpan w:val="2"/>
            <w:vMerge w:val="restart"/>
            <w:tcBorders>
              <w:top w:val="nil"/>
              <w:left w:val="single" w:color="auto" w:sz="4" w:space="0"/>
              <w:right w:val="single" w:color="auto" w:sz="4" w:space="0"/>
            </w:tcBorders>
            <w:shd w:val="clear" w:color="000000" w:fill="FFFFFF"/>
            <w:vAlign w:val="center"/>
          </w:tcPr>
          <w:p>
            <w:pPr>
              <w:widowControl/>
              <w:ind w:firstLine="360" w:firstLineChars="200"/>
              <w:rPr>
                <w:rFonts w:ascii="宋体" w:cs="宋体"/>
                <w:sz w:val="18"/>
                <w:szCs w:val="18"/>
              </w:rPr>
            </w:pPr>
            <w:r>
              <w:rPr>
                <w:rFonts w:hint="eastAsia" w:ascii="宋体" w:hAnsi="宋体" w:cs="宋体"/>
                <w:sz w:val="18"/>
                <w:szCs w:val="18"/>
              </w:rPr>
              <w:t>　</w:t>
            </w:r>
          </w:p>
          <w:p>
            <w:pPr>
              <w:widowControl/>
              <w:ind w:firstLine="360" w:firstLineChars="200"/>
              <w:rPr>
                <w:rFonts w:ascii="宋体" w:cs="宋体"/>
                <w:sz w:val="18"/>
                <w:szCs w:val="18"/>
              </w:rPr>
            </w:pPr>
            <w:r>
              <w:rPr>
                <w:rFonts w:hint="eastAsia" w:ascii="宋体" w:hAnsi="宋体" w:cs="宋体"/>
                <w:sz w:val="18"/>
                <w:szCs w:val="18"/>
              </w:rPr>
              <w:t>　</w:t>
            </w:r>
          </w:p>
          <w:p>
            <w:pPr>
              <w:widowControl/>
              <w:ind w:firstLine="360" w:firstLineChars="200"/>
              <w:rPr>
                <w:rFonts w:ascii="宋体" w:cs="宋体"/>
                <w:sz w:val="18"/>
                <w:szCs w:val="18"/>
              </w:rPr>
            </w:pPr>
            <w:r>
              <w:rPr>
                <w:rFonts w:hint="eastAsia" w:ascii="宋体" w:hAnsi="宋体" w:cs="宋体"/>
                <w:sz w:val="18"/>
                <w:szCs w:val="18"/>
              </w:rPr>
              <w:t>　</w:t>
            </w:r>
          </w:p>
          <w:p>
            <w:pPr>
              <w:widowControl/>
              <w:ind w:firstLine="360" w:firstLineChars="200"/>
              <w:rPr>
                <w:rFonts w:ascii="宋体" w:cs="宋体"/>
                <w:sz w:val="18"/>
                <w:szCs w:val="18"/>
              </w:rPr>
            </w:pPr>
            <w:r>
              <w:rPr>
                <w:rFonts w:hint="eastAsia" w:ascii="宋体" w:hAnsi="宋体" w:cs="宋体"/>
                <w:sz w:val="18"/>
                <w:szCs w:val="18"/>
              </w:rPr>
              <w:t>　</w:t>
            </w:r>
          </w:p>
          <w:p>
            <w:pPr>
              <w:widowControl/>
              <w:rPr>
                <w:rFonts w:ascii="宋体" w:cs="宋体"/>
                <w:sz w:val="18"/>
                <w:szCs w:val="18"/>
              </w:rPr>
            </w:pPr>
            <w:r>
              <w:rPr>
                <w:rFonts w:hint="eastAsia" w:ascii="宋体" w:hAnsi="宋体" w:cs="宋体"/>
                <w:sz w:val="18"/>
                <w:szCs w:val="18"/>
              </w:rPr>
              <w:t>二、全日制专业学位硕士研究生</w:t>
            </w:r>
          </w:p>
          <w:p>
            <w:pPr>
              <w:widowControl/>
              <w:ind w:firstLine="360" w:firstLineChars="200"/>
              <w:rPr>
                <w:rFonts w:ascii="宋体" w:cs="宋体"/>
                <w:sz w:val="18"/>
                <w:szCs w:val="18"/>
              </w:rPr>
            </w:pPr>
            <w:r>
              <w:rPr>
                <w:rFonts w:hint="eastAsia" w:ascii="宋体" w:hAnsi="宋体" w:cs="宋体"/>
                <w:sz w:val="18"/>
                <w:szCs w:val="18"/>
              </w:rPr>
              <w:t>　</w:t>
            </w:r>
          </w:p>
          <w:p>
            <w:pPr>
              <w:widowControl/>
              <w:ind w:firstLine="360" w:firstLineChars="200"/>
              <w:rPr>
                <w:rFonts w:ascii="宋体" w:cs="宋体"/>
                <w:sz w:val="18"/>
                <w:szCs w:val="18"/>
              </w:rPr>
            </w:pPr>
            <w:r>
              <w:rPr>
                <w:rFonts w:hint="eastAsia" w:ascii="宋体" w:hAnsi="宋体" w:cs="宋体"/>
                <w:sz w:val="18"/>
                <w:szCs w:val="18"/>
              </w:rPr>
              <w:t>　</w:t>
            </w:r>
          </w:p>
          <w:p>
            <w:pPr>
              <w:widowControl/>
              <w:ind w:firstLine="360" w:firstLineChars="200"/>
              <w:rPr>
                <w:rFonts w:ascii="宋体" w:cs="宋体"/>
                <w:sz w:val="18"/>
                <w:szCs w:val="18"/>
              </w:rPr>
            </w:pPr>
            <w:r>
              <w:rPr>
                <w:rFonts w:hint="eastAsia" w:ascii="宋体" w:hAnsi="宋体" w:cs="宋体"/>
                <w:sz w:val="18"/>
                <w:szCs w:val="18"/>
              </w:rPr>
              <w:t>　</w:t>
            </w:r>
          </w:p>
          <w:p>
            <w:pPr>
              <w:widowControl/>
              <w:ind w:firstLine="360" w:firstLineChars="200"/>
              <w:rPr>
                <w:rFonts w:ascii="宋体" w:cs="宋体"/>
                <w:sz w:val="18"/>
                <w:szCs w:val="18"/>
              </w:rPr>
            </w:pPr>
            <w:r>
              <w:rPr>
                <w:rFonts w:hint="eastAsia" w:ascii="宋体" w:hAnsi="宋体" w:cs="宋体"/>
                <w:sz w:val="18"/>
                <w:szCs w:val="18"/>
              </w:rPr>
              <w:t>　　</w:t>
            </w:r>
          </w:p>
        </w:tc>
        <w:tc>
          <w:tcPr>
            <w:tcW w:w="5523" w:type="dxa"/>
            <w:gridSpan w:val="5"/>
            <w:tcBorders>
              <w:top w:val="single" w:color="auto" w:sz="4" w:space="0"/>
              <w:left w:val="nil"/>
              <w:bottom w:val="single" w:color="auto" w:sz="4" w:space="0"/>
              <w:right w:val="single" w:color="000000" w:sz="4" w:space="0"/>
            </w:tcBorders>
            <w:vAlign w:val="bottom"/>
          </w:tcPr>
          <w:p>
            <w:pPr>
              <w:widowControl/>
              <w:rPr>
                <w:rFonts w:ascii="宋体" w:cs="宋体"/>
                <w:sz w:val="18"/>
                <w:szCs w:val="18"/>
              </w:rPr>
            </w:pPr>
            <w:r>
              <w:rPr>
                <w:rFonts w:hint="eastAsia" w:ascii="宋体" w:hAnsi="宋体" w:cs="宋体"/>
                <w:sz w:val="18"/>
                <w:szCs w:val="18"/>
              </w:rPr>
              <w:t>哲学类（</w:t>
            </w:r>
            <w:r>
              <w:rPr>
                <w:rFonts w:ascii="宋体" w:hAnsi="宋体" w:cs="宋体"/>
                <w:sz w:val="18"/>
                <w:szCs w:val="18"/>
              </w:rPr>
              <w:t>01</w:t>
            </w:r>
            <w:r>
              <w:rPr>
                <w:rFonts w:hint="eastAsia" w:ascii="宋体" w:hAnsi="宋体" w:cs="宋体"/>
                <w:sz w:val="18"/>
                <w:szCs w:val="18"/>
              </w:rPr>
              <w:t>）</w:t>
            </w:r>
          </w:p>
        </w:tc>
        <w:tc>
          <w:tcPr>
            <w:tcW w:w="2273" w:type="dxa"/>
            <w:tcBorders>
              <w:top w:val="nil"/>
              <w:left w:val="nil"/>
              <w:bottom w:val="single" w:color="auto" w:sz="4" w:space="0"/>
              <w:right w:val="single" w:color="auto" w:sz="4" w:space="0"/>
            </w:tcBorders>
            <w:vAlign w:val="bottom"/>
          </w:tcPr>
          <w:p>
            <w:pPr>
              <w:widowControl/>
              <w:ind w:firstLine="360" w:firstLineChars="200"/>
              <w:rPr>
                <w:rFonts w:ascii="宋体" w:hAnsi="宋体" w:cs="宋体"/>
                <w:sz w:val="18"/>
                <w:szCs w:val="18"/>
              </w:rPr>
            </w:pPr>
            <w:r>
              <w:rPr>
                <w:rFonts w:ascii="宋体" w:hAnsi="宋体" w:cs="宋体"/>
                <w:sz w:val="18"/>
                <w:szCs w:val="18"/>
              </w:rPr>
              <w:t>8000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shd w:val="clear" w:color="000000" w:fill="FFFFFF"/>
            <w:vAlign w:val="center"/>
          </w:tcPr>
          <w:p>
            <w:pPr>
              <w:ind w:firstLine="360" w:firstLineChars="200"/>
              <w:rPr>
                <w:rFonts w:ascii="宋体" w:cs="宋体"/>
                <w:sz w:val="18"/>
                <w:szCs w:val="18"/>
              </w:rPr>
            </w:pPr>
          </w:p>
        </w:tc>
        <w:tc>
          <w:tcPr>
            <w:tcW w:w="5523" w:type="dxa"/>
            <w:gridSpan w:val="5"/>
            <w:tcBorders>
              <w:top w:val="single" w:color="auto" w:sz="4" w:space="0"/>
              <w:left w:val="nil"/>
              <w:bottom w:val="single" w:color="auto" w:sz="4" w:space="0"/>
              <w:right w:val="single" w:color="000000" w:sz="4" w:space="0"/>
            </w:tcBorders>
            <w:vAlign w:val="bottom"/>
          </w:tcPr>
          <w:p>
            <w:pPr>
              <w:widowControl/>
              <w:rPr>
                <w:rFonts w:ascii="宋体" w:cs="宋体"/>
                <w:sz w:val="18"/>
                <w:szCs w:val="18"/>
              </w:rPr>
            </w:pPr>
            <w:r>
              <w:rPr>
                <w:rFonts w:hint="eastAsia" w:ascii="宋体" w:hAnsi="宋体" w:cs="宋体"/>
                <w:sz w:val="18"/>
                <w:szCs w:val="18"/>
              </w:rPr>
              <w:t>经济类（</w:t>
            </w:r>
            <w:r>
              <w:rPr>
                <w:rFonts w:ascii="宋体" w:hAnsi="宋体" w:cs="宋体"/>
                <w:sz w:val="18"/>
                <w:szCs w:val="18"/>
              </w:rPr>
              <w:t>02</w:t>
            </w:r>
            <w:r>
              <w:rPr>
                <w:rFonts w:hint="eastAsia" w:ascii="宋体" w:hAnsi="宋体" w:cs="宋体"/>
                <w:sz w:val="18"/>
                <w:szCs w:val="18"/>
              </w:rPr>
              <w:t>）</w:t>
            </w:r>
          </w:p>
        </w:tc>
        <w:tc>
          <w:tcPr>
            <w:tcW w:w="2273" w:type="dxa"/>
            <w:tcBorders>
              <w:top w:val="nil"/>
              <w:left w:val="nil"/>
              <w:bottom w:val="single" w:color="auto" w:sz="4" w:space="0"/>
              <w:right w:val="single" w:color="auto" w:sz="4" w:space="0"/>
            </w:tcBorders>
            <w:vAlign w:val="bottom"/>
          </w:tcPr>
          <w:p>
            <w:pPr>
              <w:widowControl/>
              <w:ind w:firstLine="360" w:firstLineChars="200"/>
              <w:rPr>
                <w:rFonts w:ascii="宋体" w:hAnsi="宋体" w:cs="宋体"/>
                <w:sz w:val="18"/>
                <w:szCs w:val="18"/>
              </w:rPr>
            </w:pPr>
            <w:r>
              <w:rPr>
                <w:rFonts w:ascii="宋体" w:hAnsi="宋体" w:cs="宋体"/>
                <w:sz w:val="18"/>
                <w:szCs w:val="18"/>
              </w:rPr>
              <w:t>14000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shd w:val="clear" w:color="000000" w:fill="FFFFFF"/>
            <w:vAlign w:val="center"/>
          </w:tcPr>
          <w:p>
            <w:pPr>
              <w:ind w:firstLine="360" w:firstLineChars="200"/>
              <w:rPr>
                <w:rFonts w:ascii="宋体" w:cs="宋体"/>
                <w:sz w:val="18"/>
                <w:szCs w:val="18"/>
              </w:rPr>
            </w:pPr>
          </w:p>
        </w:tc>
        <w:tc>
          <w:tcPr>
            <w:tcW w:w="5523" w:type="dxa"/>
            <w:gridSpan w:val="5"/>
            <w:tcBorders>
              <w:top w:val="single" w:color="auto" w:sz="4" w:space="0"/>
              <w:left w:val="nil"/>
              <w:bottom w:val="single" w:color="auto" w:sz="4" w:space="0"/>
              <w:right w:val="single" w:color="000000" w:sz="4" w:space="0"/>
            </w:tcBorders>
            <w:vAlign w:val="bottom"/>
          </w:tcPr>
          <w:p>
            <w:pPr>
              <w:widowControl/>
              <w:rPr>
                <w:rFonts w:ascii="宋体" w:cs="宋体"/>
                <w:sz w:val="18"/>
                <w:szCs w:val="18"/>
              </w:rPr>
            </w:pPr>
            <w:r>
              <w:rPr>
                <w:rFonts w:hint="eastAsia" w:ascii="宋体" w:hAnsi="宋体" w:cs="宋体"/>
                <w:sz w:val="18"/>
                <w:szCs w:val="18"/>
              </w:rPr>
              <w:t>法学类（</w:t>
            </w:r>
            <w:r>
              <w:rPr>
                <w:rFonts w:ascii="宋体" w:hAnsi="宋体" w:cs="宋体"/>
                <w:sz w:val="18"/>
                <w:szCs w:val="18"/>
              </w:rPr>
              <w:t>03</w:t>
            </w:r>
            <w:r>
              <w:rPr>
                <w:rFonts w:hint="eastAsia" w:ascii="宋体" w:hAnsi="宋体" w:cs="宋体"/>
                <w:sz w:val="18"/>
                <w:szCs w:val="18"/>
              </w:rPr>
              <w:t>）</w:t>
            </w:r>
          </w:p>
        </w:tc>
        <w:tc>
          <w:tcPr>
            <w:tcW w:w="2273" w:type="dxa"/>
            <w:tcBorders>
              <w:top w:val="nil"/>
              <w:left w:val="nil"/>
              <w:bottom w:val="single" w:color="auto" w:sz="4" w:space="0"/>
              <w:right w:val="single" w:color="auto" w:sz="4" w:space="0"/>
            </w:tcBorders>
            <w:vAlign w:val="bottom"/>
          </w:tcPr>
          <w:p>
            <w:pPr>
              <w:widowControl/>
              <w:ind w:firstLine="360" w:firstLineChars="200"/>
              <w:rPr>
                <w:rFonts w:ascii="宋体" w:hAnsi="宋体" w:cs="宋体"/>
                <w:sz w:val="18"/>
                <w:szCs w:val="18"/>
              </w:rPr>
            </w:pPr>
            <w:r>
              <w:rPr>
                <w:rFonts w:ascii="宋体" w:hAnsi="宋体" w:cs="宋体"/>
                <w:sz w:val="18"/>
                <w:szCs w:val="18"/>
              </w:rPr>
              <w:t>10000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shd w:val="clear" w:color="000000" w:fill="FFFFFF"/>
            <w:vAlign w:val="center"/>
          </w:tcPr>
          <w:p>
            <w:pPr>
              <w:ind w:firstLine="360" w:firstLineChars="200"/>
              <w:rPr>
                <w:rFonts w:ascii="宋体" w:cs="宋体"/>
                <w:sz w:val="18"/>
                <w:szCs w:val="18"/>
              </w:rPr>
            </w:pPr>
          </w:p>
        </w:tc>
        <w:tc>
          <w:tcPr>
            <w:tcW w:w="5523" w:type="dxa"/>
            <w:gridSpan w:val="5"/>
            <w:tcBorders>
              <w:top w:val="single" w:color="auto" w:sz="4" w:space="0"/>
              <w:left w:val="nil"/>
              <w:bottom w:val="single" w:color="auto" w:sz="4" w:space="0"/>
              <w:right w:val="single" w:color="000000" w:sz="4" w:space="0"/>
            </w:tcBorders>
            <w:vAlign w:val="bottom"/>
          </w:tcPr>
          <w:p>
            <w:pPr>
              <w:widowControl/>
              <w:rPr>
                <w:rFonts w:ascii="宋体" w:cs="宋体"/>
                <w:sz w:val="18"/>
                <w:szCs w:val="18"/>
              </w:rPr>
            </w:pPr>
            <w:r>
              <w:rPr>
                <w:rFonts w:hint="eastAsia" w:ascii="宋体" w:hAnsi="宋体" w:cs="宋体"/>
                <w:sz w:val="18"/>
                <w:szCs w:val="18"/>
              </w:rPr>
              <w:t>教育类（</w:t>
            </w:r>
            <w:r>
              <w:rPr>
                <w:rFonts w:ascii="宋体" w:hAnsi="宋体" w:cs="宋体"/>
                <w:sz w:val="18"/>
                <w:szCs w:val="18"/>
              </w:rPr>
              <w:t>04</w:t>
            </w:r>
            <w:r>
              <w:rPr>
                <w:rFonts w:hint="eastAsia" w:ascii="宋体" w:hAnsi="宋体" w:cs="宋体"/>
                <w:sz w:val="18"/>
                <w:szCs w:val="18"/>
              </w:rPr>
              <w:t>）</w:t>
            </w:r>
          </w:p>
        </w:tc>
        <w:tc>
          <w:tcPr>
            <w:tcW w:w="2273" w:type="dxa"/>
            <w:tcBorders>
              <w:top w:val="nil"/>
              <w:left w:val="nil"/>
              <w:bottom w:val="single" w:color="auto" w:sz="4" w:space="0"/>
              <w:right w:val="single" w:color="auto" w:sz="4" w:space="0"/>
            </w:tcBorders>
            <w:vAlign w:val="bottom"/>
          </w:tcPr>
          <w:p>
            <w:pPr>
              <w:widowControl/>
              <w:ind w:firstLine="360" w:firstLineChars="200"/>
              <w:rPr>
                <w:rFonts w:ascii="宋体" w:hAnsi="宋体" w:cs="宋体"/>
                <w:sz w:val="18"/>
                <w:szCs w:val="18"/>
              </w:rPr>
            </w:pPr>
            <w:r>
              <w:rPr>
                <w:rFonts w:ascii="宋体" w:hAnsi="宋体" w:cs="宋体"/>
                <w:sz w:val="18"/>
                <w:szCs w:val="18"/>
              </w:rPr>
              <w:t>10000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shd w:val="clear" w:color="000000" w:fill="FFFFFF"/>
            <w:vAlign w:val="center"/>
          </w:tcPr>
          <w:p>
            <w:pPr>
              <w:ind w:firstLine="360" w:firstLineChars="200"/>
              <w:rPr>
                <w:rFonts w:ascii="宋体" w:cs="宋体"/>
                <w:sz w:val="18"/>
                <w:szCs w:val="18"/>
              </w:rPr>
            </w:pPr>
          </w:p>
        </w:tc>
        <w:tc>
          <w:tcPr>
            <w:tcW w:w="5523" w:type="dxa"/>
            <w:gridSpan w:val="5"/>
            <w:tcBorders>
              <w:top w:val="single" w:color="auto" w:sz="4" w:space="0"/>
              <w:left w:val="nil"/>
              <w:bottom w:val="single" w:color="auto" w:sz="4" w:space="0"/>
              <w:right w:val="single" w:color="000000" w:sz="4" w:space="0"/>
            </w:tcBorders>
            <w:vAlign w:val="bottom"/>
          </w:tcPr>
          <w:p>
            <w:pPr>
              <w:widowControl/>
              <w:rPr>
                <w:rFonts w:ascii="宋体" w:cs="宋体"/>
                <w:sz w:val="18"/>
                <w:szCs w:val="18"/>
              </w:rPr>
            </w:pPr>
            <w:r>
              <w:rPr>
                <w:rFonts w:hint="eastAsia" w:ascii="宋体" w:hAnsi="宋体" w:cs="宋体"/>
                <w:sz w:val="18"/>
                <w:szCs w:val="18"/>
              </w:rPr>
              <w:t>文学类（</w:t>
            </w:r>
            <w:r>
              <w:rPr>
                <w:rFonts w:ascii="宋体" w:hAnsi="宋体" w:cs="宋体"/>
                <w:sz w:val="18"/>
                <w:szCs w:val="18"/>
              </w:rPr>
              <w:t>05</w:t>
            </w:r>
            <w:r>
              <w:rPr>
                <w:rFonts w:hint="eastAsia" w:ascii="宋体" w:hAnsi="宋体" w:cs="宋体"/>
                <w:sz w:val="18"/>
                <w:szCs w:val="18"/>
              </w:rPr>
              <w:t>）</w:t>
            </w:r>
          </w:p>
        </w:tc>
        <w:tc>
          <w:tcPr>
            <w:tcW w:w="2273" w:type="dxa"/>
            <w:tcBorders>
              <w:top w:val="nil"/>
              <w:left w:val="nil"/>
              <w:bottom w:val="single" w:color="auto" w:sz="4" w:space="0"/>
              <w:right w:val="single" w:color="auto" w:sz="4" w:space="0"/>
            </w:tcBorders>
            <w:vAlign w:val="bottom"/>
          </w:tcPr>
          <w:p>
            <w:pPr>
              <w:widowControl/>
              <w:ind w:firstLine="360" w:firstLineChars="200"/>
              <w:rPr>
                <w:rFonts w:ascii="宋体" w:hAnsi="宋体" w:cs="宋体"/>
                <w:sz w:val="18"/>
                <w:szCs w:val="18"/>
              </w:rPr>
            </w:pPr>
            <w:r>
              <w:rPr>
                <w:rFonts w:ascii="宋体" w:hAnsi="宋体" w:cs="宋体"/>
                <w:sz w:val="18"/>
                <w:szCs w:val="18"/>
              </w:rPr>
              <w:t>13000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shd w:val="clear" w:color="000000" w:fill="FFFFFF"/>
            <w:vAlign w:val="center"/>
          </w:tcPr>
          <w:p>
            <w:pPr>
              <w:ind w:firstLine="360" w:firstLineChars="200"/>
              <w:rPr>
                <w:rFonts w:ascii="宋体" w:cs="宋体"/>
                <w:sz w:val="18"/>
                <w:szCs w:val="18"/>
              </w:rPr>
            </w:pPr>
          </w:p>
        </w:tc>
        <w:tc>
          <w:tcPr>
            <w:tcW w:w="5523" w:type="dxa"/>
            <w:gridSpan w:val="5"/>
            <w:tcBorders>
              <w:top w:val="single" w:color="auto" w:sz="4" w:space="0"/>
              <w:left w:val="nil"/>
              <w:bottom w:val="single" w:color="auto" w:sz="4" w:space="0"/>
              <w:right w:val="single" w:color="000000" w:sz="4" w:space="0"/>
            </w:tcBorders>
            <w:vAlign w:val="bottom"/>
          </w:tcPr>
          <w:p>
            <w:pPr>
              <w:widowControl/>
              <w:rPr>
                <w:rFonts w:ascii="宋体" w:cs="宋体"/>
                <w:sz w:val="18"/>
                <w:szCs w:val="18"/>
              </w:rPr>
            </w:pPr>
            <w:r>
              <w:rPr>
                <w:rFonts w:hint="eastAsia" w:ascii="宋体" w:hAnsi="宋体" w:cs="宋体"/>
                <w:sz w:val="18"/>
                <w:szCs w:val="18"/>
              </w:rPr>
              <w:t>理学类（</w:t>
            </w:r>
            <w:r>
              <w:rPr>
                <w:rFonts w:ascii="宋体" w:hAnsi="宋体" w:cs="宋体"/>
                <w:sz w:val="18"/>
                <w:szCs w:val="18"/>
              </w:rPr>
              <w:t>07</w:t>
            </w:r>
            <w:r>
              <w:rPr>
                <w:rFonts w:hint="eastAsia" w:ascii="宋体" w:hAnsi="宋体" w:cs="宋体"/>
                <w:sz w:val="18"/>
                <w:szCs w:val="18"/>
              </w:rPr>
              <w:t>）</w:t>
            </w:r>
          </w:p>
        </w:tc>
        <w:tc>
          <w:tcPr>
            <w:tcW w:w="2273" w:type="dxa"/>
            <w:tcBorders>
              <w:top w:val="nil"/>
              <w:left w:val="nil"/>
              <w:bottom w:val="single" w:color="auto" w:sz="4" w:space="0"/>
              <w:right w:val="single" w:color="auto" w:sz="4" w:space="0"/>
            </w:tcBorders>
            <w:vAlign w:val="bottom"/>
          </w:tcPr>
          <w:p>
            <w:pPr>
              <w:widowControl/>
              <w:ind w:firstLine="360" w:firstLineChars="200"/>
              <w:rPr>
                <w:rFonts w:ascii="宋体" w:hAnsi="宋体" w:cs="宋体"/>
                <w:sz w:val="18"/>
                <w:szCs w:val="18"/>
              </w:rPr>
            </w:pPr>
            <w:r>
              <w:rPr>
                <w:rFonts w:ascii="宋体" w:hAnsi="宋体" w:cs="宋体"/>
                <w:sz w:val="18"/>
                <w:szCs w:val="18"/>
              </w:rPr>
              <w:t>8000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shd w:val="clear" w:color="000000" w:fill="FFFFFF"/>
            <w:vAlign w:val="center"/>
          </w:tcPr>
          <w:p>
            <w:pPr>
              <w:ind w:firstLine="360" w:firstLineChars="200"/>
              <w:rPr>
                <w:rFonts w:ascii="宋体" w:cs="宋体"/>
                <w:sz w:val="18"/>
                <w:szCs w:val="18"/>
              </w:rPr>
            </w:pPr>
          </w:p>
        </w:tc>
        <w:tc>
          <w:tcPr>
            <w:tcW w:w="5523" w:type="dxa"/>
            <w:gridSpan w:val="5"/>
            <w:tcBorders>
              <w:top w:val="single" w:color="auto" w:sz="4" w:space="0"/>
              <w:left w:val="nil"/>
              <w:bottom w:val="single" w:color="auto" w:sz="4" w:space="0"/>
              <w:right w:val="single" w:color="000000" w:sz="4" w:space="0"/>
            </w:tcBorders>
            <w:vAlign w:val="bottom"/>
          </w:tcPr>
          <w:p>
            <w:pPr>
              <w:widowControl/>
              <w:rPr>
                <w:rFonts w:ascii="宋体" w:cs="宋体"/>
                <w:sz w:val="18"/>
                <w:szCs w:val="18"/>
              </w:rPr>
            </w:pPr>
            <w:r>
              <w:rPr>
                <w:rFonts w:hint="eastAsia" w:ascii="宋体" w:hAnsi="宋体" w:cs="宋体"/>
                <w:sz w:val="18"/>
                <w:szCs w:val="18"/>
              </w:rPr>
              <w:t>工学类（</w:t>
            </w:r>
            <w:r>
              <w:rPr>
                <w:rFonts w:ascii="宋体" w:hAnsi="宋体" w:cs="宋体"/>
                <w:sz w:val="18"/>
                <w:szCs w:val="18"/>
              </w:rPr>
              <w:t>08</w:t>
            </w:r>
            <w:r>
              <w:rPr>
                <w:rFonts w:hint="eastAsia" w:ascii="宋体" w:hAnsi="宋体" w:cs="宋体"/>
                <w:sz w:val="18"/>
                <w:szCs w:val="18"/>
              </w:rPr>
              <w:t>）</w:t>
            </w:r>
          </w:p>
        </w:tc>
        <w:tc>
          <w:tcPr>
            <w:tcW w:w="2273" w:type="dxa"/>
            <w:tcBorders>
              <w:top w:val="nil"/>
              <w:left w:val="nil"/>
              <w:bottom w:val="single" w:color="auto" w:sz="4" w:space="0"/>
              <w:right w:val="single" w:color="auto" w:sz="4" w:space="0"/>
            </w:tcBorders>
            <w:vAlign w:val="bottom"/>
          </w:tcPr>
          <w:p>
            <w:pPr>
              <w:widowControl/>
              <w:ind w:firstLine="360" w:firstLineChars="200"/>
              <w:rPr>
                <w:rFonts w:ascii="宋体" w:hAnsi="宋体" w:cs="宋体"/>
                <w:sz w:val="18"/>
                <w:szCs w:val="18"/>
              </w:rPr>
            </w:pPr>
            <w:r>
              <w:rPr>
                <w:rFonts w:ascii="宋体" w:hAnsi="宋体" w:cs="宋体"/>
                <w:sz w:val="18"/>
                <w:szCs w:val="18"/>
              </w:rPr>
              <w:t>12000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shd w:val="clear" w:color="000000" w:fill="FFFFFF"/>
            <w:vAlign w:val="center"/>
          </w:tcPr>
          <w:p>
            <w:pPr>
              <w:ind w:firstLine="360" w:firstLineChars="200"/>
              <w:rPr>
                <w:rFonts w:ascii="宋体" w:cs="宋体"/>
                <w:sz w:val="18"/>
                <w:szCs w:val="18"/>
              </w:rPr>
            </w:pPr>
          </w:p>
        </w:tc>
        <w:tc>
          <w:tcPr>
            <w:tcW w:w="5523" w:type="dxa"/>
            <w:gridSpan w:val="5"/>
            <w:tcBorders>
              <w:top w:val="single" w:color="auto" w:sz="4" w:space="0"/>
              <w:left w:val="nil"/>
              <w:bottom w:val="single" w:color="auto" w:sz="4" w:space="0"/>
              <w:right w:val="single" w:color="000000" w:sz="4" w:space="0"/>
            </w:tcBorders>
            <w:vAlign w:val="bottom"/>
          </w:tcPr>
          <w:p>
            <w:pPr>
              <w:widowControl/>
              <w:rPr>
                <w:rFonts w:ascii="宋体" w:cs="宋体"/>
                <w:sz w:val="18"/>
                <w:szCs w:val="18"/>
              </w:rPr>
            </w:pPr>
            <w:r>
              <w:rPr>
                <w:rFonts w:hint="eastAsia" w:ascii="宋体" w:hAnsi="宋体" w:cs="宋体"/>
                <w:sz w:val="18"/>
                <w:szCs w:val="18"/>
              </w:rPr>
              <w:t>医学类（</w:t>
            </w:r>
            <w:r>
              <w:rPr>
                <w:rFonts w:ascii="宋体" w:hAnsi="宋体" w:cs="宋体"/>
                <w:sz w:val="18"/>
                <w:szCs w:val="18"/>
              </w:rPr>
              <w:t>10</w:t>
            </w:r>
            <w:r>
              <w:rPr>
                <w:rFonts w:hint="eastAsia" w:ascii="宋体" w:hAnsi="宋体" w:cs="宋体"/>
                <w:sz w:val="18"/>
                <w:szCs w:val="18"/>
              </w:rPr>
              <w:t>）</w:t>
            </w:r>
          </w:p>
        </w:tc>
        <w:tc>
          <w:tcPr>
            <w:tcW w:w="2273" w:type="dxa"/>
            <w:tcBorders>
              <w:top w:val="nil"/>
              <w:left w:val="nil"/>
              <w:bottom w:val="single" w:color="auto" w:sz="4" w:space="0"/>
              <w:right w:val="single" w:color="auto" w:sz="4" w:space="0"/>
            </w:tcBorders>
            <w:vAlign w:val="bottom"/>
          </w:tcPr>
          <w:p>
            <w:pPr>
              <w:widowControl/>
              <w:ind w:firstLine="360" w:firstLineChars="200"/>
              <w:rPr>
                <w:rFonts w:ascii="宋体" w:hAnsi="宋体" w:cs="宋体"/>
                <w:sz w:val="18"/>
                <w:szCs w:val="18"/>
              </w:rPr>
            </w:pPr>
            <w:r>
              <w:rPr>
                <w:rFonts w:ascii="宋体" w:hAnsi="宋体" w:cs="宋体"/>
                <w:sz w:val="18"/>
                <w:szCs w:val="18"/>
              </w:rPr>
              <w:t>10000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shd w:val="clear" w:color="000000" w:fill="FFFFFF"/>
            <w:vAlign w:val="center"/>
          </w:tcPr>
          <w:p>
            <w:pPr>
              <w:ind w:firstLine="360" w:firstLineChars="200"/>
              <w:rPr>
                <w:rFonts w:ascii="宋体" w:cs="宋体"/>
                <w:sz w:val="18"/>
                <w:szCs w:val="18"/>
              </w:rPr>
            </w:pPr>
          </w:p>
        </w:tc>
        <w:tc>
          <w:tcPr>
            <w:tcW w:w="5523" w:type="dxa"/>
            <w:gridSpan w:val="5"/>
            <w:tcBorders>
              <w:top w:val="single" w:color="auto" w:sz="4" w:space="0"/>
              <w:left w:val="nil"/>
              <w:bottom w:val="single" w:color="auto" w:sz="4" w:space="0"/>
              <w:right w:val="single" w:color="000000" w:sz="4" w:space="0"/>
            </w:tcBorders>
            <w:vAlign w:val="bottom"/>
          </w:tcPr>
          <w:p>
            <w:pPr>
              <w:widowControl/>
              <w:rPr>
                <w:rFonts w:ascii="宋体" w:cs="宋体"/>
                <w:sz w:val="18"/>
                <w:szCs w:val="18"/>
              </w:rPr>
            </w:pPr>
            <w:r>
              <w:rPr>
                <w:rFonts w:hint="eastAsia" w:ascii="宋体" w:hAnsi="宋体" w:cs="宋体"/>
                <w:sz w:val="18"/>
                <w:szCs w:val="18"/>
              </w:rPr>
              <w:t>管理学类（</w:t>
            </w:r>
            <w:r>
              <w:rPr>
                <w:rFonts w:ascii="宋体" w:hAnsi="宋体" w:cs="宋体"/>
                <w:sz w:val="18"/>
                <w:szCs w:val="18"/>
              </w:rPr>
              <w:t>12</w:t>
            </w:r>
            <w:r>
              <w:rPr>
                <w:rFonts w:hint="eastAsia" w:ascii="宋体" w:hAnsi="宋体" w:cs="宋体"/>
                <w:sz w:val="18"/>
                <w:szCs w:val="18"/>
              </w:rPr>
              <w:t>）（不含</w:t>
            </w:r>
            <w:r>
              <w:rPr>
                <w:rFonts w:ascii="宋体" w:hAnsi="宋体" w:cs="宋体"/>
                <w:sz w:val="18"/>
                <w:szCs w:val="18"/>
              </w:rPr>
              <w:t>MBA</w:t>
            </w:r>
            <w:r>
              <w:rPr>
                <w:rFonts w:hint="eastAsia" w:ascii="宋体" w:hAnsi="宋体" w:cs="宋体"/>
                <w:sz w:val="18"/>
                <w:szCs w:val="18"/>
              </w:rPr>
              <w:t>）</w:t>
            </w:r>
          </w:p>
        </w:tc>
        <w:tc>
          <w:tcPr>
            <w:tcW w:w="2273" w:type="dxa"/>
            <w:tcBorders>
              <w:top w:val="nil"/>
              <w:left w:val="nil"/>
              <w:bottom w:val="single" w:color="auto" w:sz="4" w:space="0"/>
              <w:right w:val="single" w:color="auto" w:sz="4" w:space="0"/>
            </w:tcBorders>
            <w:vAlign w:val="bottom"/>
          </w:tcPr>
          <w:p>
            <w:pPr>
              <w:widowControl/>
              <w:ind w:firstLine="360" w:firstLineChars="200"/>
              <w:rPr>
                <w:rFonts w:ascii="宋体" w:hAnsi="宋体" w:cs="宋体"/>
                <w:sz w:val="18"/>
                <w:szCs w:val="18"/>
              </w:rPr>
            </w:pPr>
            <w:r>
              <w:rPr>
                <w:rFonts w:ascii="宋体" w:hAnsi="宋体" w:cs="宋体"/>
                <w:sz w:val="18"/>
                <w:szCs w:val="18"/>
              </w:rPr>
              <w:t>14000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bottom w:val="single" w:color="auto" w:sz="4" w:space="0"/>
              <w:right w:val="single" w:color="auto" w:sz="4" w:space="0"/>
            </w:tcBorders>
            <w:shd w:val="clear" w:color="000000" w:fill="FFFFFF"/>
            <w:vAlign w:val="center"/>
          </w:tcPr>
          <w:p>
            <w:pPr>
              <w:ind w:firstLine="360" w:firstLineChars="200"/>
              <w:rPr>
                <w:rFonts w:ascii="宋体" w:cs="宋体"/>
                <w:sz w:val="18"/>
                <w:szCs w:val="18"/>
              </w:rPr>
            </w:pPr>
          </w:p>
        </w:tc>
        <w:tc>
          <w:tcPr>
            <w:tcW w:w="5523" w:type="dxa"/>
            <w:gridSpan w:val="5"/>
            <w:tcBorders>
              <w:top w:val="single" w:color="auto" w:sz="4" w:space="0"/>
              <w:left w:val="nil"/>
              <w:bottom w:val="single" w:color="auto" w:sz="4" w:space="0"/>
              <w:right w:val="single" w:color="000000" w:sz="4" w:space="0"/>
            </w:tcBorders>
            <w:vAlign w:val="bottom"/>
          </w:tcPr>
          <w:p>
            <w:pPr>
              <w:widowControl/>
              <w:rPr>
                <w:rFonts w:ascii="宋体" w:cs="宋体"/>
                <w:sz w:val="18"/>
                <w:szCs w:val="18"/>
              </w:rPr>
            </w:pPr>
            <w:r>
              <w:rPr>
                <w:rFonts w:hint="eastAsia" w:ascii="宋体" w:hAnsi="宋体" w:cs="宋体"/>
                <w:sz w:val="18"/>
                <w:szCs w:val="18"/>
              </w:rPr>
              <w:t>艺术学类（</w:t>
            </w:r>
            <w:r>
              <w:rPr>
                <w:rFonts w:ascii="宋体" w:hAnsi="宋体" w:cs="宋体"/>
                <w:sz w:val="18"/>
                <w:szCs w:val="18"/>
              </w:rPr>
              <w:t>13</w:t>
            </w:r>
            <w:r>
              <w:rPr>
                <w:rFonts w:hint="eastAsia" w:ascii="宋体" w:hAnsi="宋体" w:cs="宋体"/>
                <w:sz w:val="18"/>
                <w:szCs w:val="18"/>
              </w:rPr>
              <w:t>）</w:t>
            </w:r>
          </w:p>
        </w:tc>
        <w:tc>
          <w:tcPr>
            <w:tcW w:w="2273" w:type="dxa"/>
            <w:tcBorders>
              <w:top w:val="nil"/>
              <w:left w:val="nil"/>
              <w:bottom w:val="single" w:color="auto" w:sz="4" w:space="0"/>
              <w:right w:val="single" w:color="auto" w:sz="4" w:space="0"/>
            </w:tcBorders>
            <w:vAlign w:val="bottom"/>
          </w:tcPr>
          <w:p>
            <w:pPr>
              <w:widowControl/>
              <w:ind w:firstLine="360" w:firstLineChars="200"/>
              <w:rPr>
                <w:rFonts w:ascii="宋体" w:hAnsi="宋体" w:cs="宋体"/>
                <w:sz w:val="18"/>
                <w:szCs w:val="18"/>
              </w:rPr>
            </w:pPr>
            <w:r>
              <w:rPr>
                <w:rFonts w:ascii="宋体" w:hAnsi="宋体" w:cs="宋体"/>
                <w:sz w:val="18"/>
                <w:szCs w:val="18"/>
              </w:rPr>
              <w:t>9000</w:t>
            </w:r>
          </w:p>
        </w:tc>
      </w:tr>
      <w:tr>
        <w:tblPrEx>
          <w:tblLayout w:type="fixed"/>
          <w:tblCellMar>
            <w:top w:w="0" w:type="dxa"/>
            <w:left w:w="108" w:type="dxa"/>
            <w:bottom w:w="0" w:type="dxa"/>
            <w:right w:w="108" w:type="dxa"/>
          </w:tblCellMar>
        </w:tblPrEx>
        <w:trPr>
          <w:trHeight w:val="284" w:hRule="atLeast"/>
        </w:trPr>
        <w:tc>
          <w:tcPr>
            <w:tcW w:w="1807"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rPr>
                <w:rFonts w:ascii="宋体" w:cs="宋体"/>
                <w:sz w:val="18"/>
                <w:szCs w:val="18"/>
              </w:rPr>
            </w:pPr>
            <w:r>
              <w:rPr>
                <w:rFonts w:hint="eastAsia" w:ascii="宋体" w:hAnsi="宋体" w:cs="宋体"/>
                <w:sz w:val="18"/>
                <w:szCs w:val="18"/>
              </w:rPr>
              <w:t>三、非全日制学术型硕士研究生</w:t>
            </w:r>
          </w:p>
        </w:tc>
        <w:tc>
          <w:tcPr>
            <w:tcW w:w="170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cs="宋体"/>
                <w:sz w:val="18"/>
                <w:szCs w:val="18"/>
              </w:rPr>
            </w:pPr>
            <w:r>
              <w:rPr>
                <w:rFonts w:hint="eastAsia" w:ascii="宋体" w:hAnsi="宋体" w:cs="宋体"/>
                <w:sz w:val="18"/>
                <w:szCs w:val="18"/>
              </w:rPr>
              <w:t>医学类（</w:t>
            </w:r>
            <w:r>
              <w:rPr>
                <w:rFonts w:ascii="宋体" w:hAnsi="宋体" w:cs="宋体"/>
                <w:sz w:val="18"/>
                <w:szCs w:val="18"/>
              </w:rPr>
              <w:t>10</w:t>
            </w:r>
            <w:r>
              <w:rPr>
                <w:rFonts w:hint="eastAsia" w:ascii="宋体" w:hAnsi="宋体" w:cs="宋体"/>
                <w:sz w:val="18"/>
                <w:szCs w:val="18"/>
              </w:rPr>
              <w:t>）</w:t>
            </w: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1002  </w:t>
            </w:r>
            <w:r>
              <w:rPr>
                <w:rFonts w:hint="eastAsia" w:ascii="宋体" w:hAnsi="宋体" w:cs="宋体"/>
                <w:sz w:val="18"/>
                <w:szCs w:val="18"/>
              </w:rPr>
              <w:t>临床医学</w:t>
            </w:r>
          </w:p>
        </w:tc>
        <w:tc>
          <w:tcPr>
            <w:tcW w:w="227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12000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top w:val="nil"/>
              <w:left w:val="single" w:color="auto" w:sz="4" w:space="0"/>
              <w:bottom w:val="single" w:color="auto" w:sz="4" w:space="0"/>
              <w:right w:val="single" w:color="auto" w:sz="4" w:space="0"/>
            </w:tcBorders>
            <w:vAlign w:val="center"/>
          </w:tcPr>
          <w:p>
            <w:pPr>
              <w:widowControl/>
              <w:ind w:firstLine="360" w:firstLineChars="200"/>
              <w:rPr>
                <w:rFonts w:ascii="宋体" w:cs="宋体"/>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360" w:firstLineChars="200"/>
              <w:rPr>
                <w:rFonts w:ascii="宋体" w:cs="宋体"/>
                <w:sz w:val="18"/>
                <w:szCs w:val="18"/>
              </w:rPr>
            </w:pP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1003  </w:t>
            </w:r>
            <w:r>
              <w:rPr>
                <w:rFonts w:hint="eastAsia" w:ascii="宋体" w:hAnsi="宋体" w:cs="宋体"/>
                <w:sz w:val="18"/>
                <w:szCs w:val="18"/>
              </w:rPr>
              <w:t>口腔医学</w:t>
            </w:r>
          </w:p>
        </w:tc>
        <w:tc>
          <w:tcPr>
            <w:tcW w:w="2273" w:type="dxa"/>
            <w:vMerge w:val="continue"/>
            <w:tcBorders>
              <w:top w:val="nil"/>
              <w:left w:val="single" w:color="auto" w:sz="4" w:space="0"/>
              <w:bottom w:val="single" w:color="auto" w:sz="4" w:space="0"/>
              <w:right w:val="single" w:color="auto" w:sz="4" w:space="0"/>
            </w:tcBorders>
            <w:vAlign w:val="center"/>
          </w:tcPr>
          <w:p>
            <w:pPr>
              <w:widowControl/>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restart"/>
            <w:tcBorders>
              <w:top w:val="single" w:color="auto" w:sz="4" w:space="0"/>
              <w:left w:val="single" w:color="auto" w:sz="4" w:space="0"/>
              <w:right w:val="single" w:color="auto" w:sz="4" w:space="0"/>
            </w:tcBorders>
            <w:vAlign w:val="center"/>
          </w:tcPr>
          <w:p>
            <w:pPr>
              <w:ind w:firstLine="360" w:firstLineChars="200"/>
              <w:rPr>
                <w:rFonts w:ascii="宋体" w:cs="宋体"/>
                <w:sz w:val="18"/>
                <w:szCs w:val="18"/>
              </w:rPr>
            </w:pPr>
            <w:r>
              <w:rPr>
                <w:rFonts w:hint="eastAsia" w:ascii="宋体" w:hAnsi="宋体" w:cs="宋体"/>
                <w:sz w:val="18"/>
                <w:szCs w:val="18"/>
              </w:rPr>
              <w:t>四、非全日制专业学位硕士研究生　</w:t>
            </w:r>
          </w:p>
        </w:tc>
        <w:tc>
          <w:tcPr>
            <w:tcW w:w="1701"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1.</w:t>
            </w:r>
            <w:r>
              <w:rPr>
                <w:rFonts w:hint="eastAsia" w:ascii="宋体" w:hAnsi="宋体" w:cs="宋体"/>
                <w:sz w:val="18"/>
                <w:szCs w:val="18"/>
              </w:rPr>
              <w:t>经济学类（</w:t>
            </w:r>
            <w:r>
              <w:rPr>
                <w:rFonts w:ascii="宋体" w:hAnsi="宋体" w:cs="宋体"/>
                <w:sz w:val="18"/>
                <w:szCs w:val="18"/>
              </w:rPr>
              <w:t>02</w:t>
            </w:r>
            <w:r>
              <w:rPr>
                <w:rFonts w:hint="eastAsia" w:ascii="宋体" w:hAnsi="宋体" w:cs="宋体"/>
                <w:sz w:val="18"/>
                <w:szCs w:val="18"/>
              </w:rPr>
              <w:t>）</w:t>
            </w: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0251 </w:t>
            </w:r>
            <w:r>
              <w:rPr>
                <w:rFonts w:hint="eastAsia" w:ascii="宋体" w:hAnsi="宋体" w:cs="宋体"/>
                <w:sz w:val="18"/>
                <w:szCs w:val="18"/>
              </w:rPr>
              <w:t>金融</w:t>
            </w:r>
          </w:p>
        </w:tc>
        <w:tc>
          <w:tcPr>
            <w:tcW w:w="2273" w:type="dxa"/>
            <w:tcBorders>
              <w:top w:val="single" w:color="auto" w:sz="4" w:space="0"/>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20000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ind w:firstLine="360" w:firstLineChars="200"/>
              <w:rPr>
                <w:rFonts w:ascii="宋体" w:cs="宋体"/>
                <w:sz w:val="18"/>
                <w:szCs w:val="18"/>
              </w:rPr>
            </w:pP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0252 </w:t>
            </w:r>
            <w:r>
              <w:rPr>
                <w:rFonts w:hint="eastAsia" w:ascii="宋体" w:hAnsi="宋体" w:cs="宋体"/>
                <w:sz w:val="18"/>
                <w:szCs w:val="18"/>
              </w:rPr>
              <w:t>应用统计</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14000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ind w:firstLine="360" w:firstLineChars="200"/>
              <w:rPr>
                <w:rFonts w:ascii="宋体" w:cs="宋体"/>
                <w:sz w:val="18"/>
                <w:szCs w:val="18"/>
              </w:rPr>
            </w:pP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0255 </w:t>
            </w:r>
            <w:r>
              <w:rPr>
                <w:rFonts w:hint="eastAsia" w:ascii="宋体" w:hAnsi="宋体" w:cs="宋体"/>
                <w:sz w:val="18"/>
                <w:szCs w:val="18"/>
              </w:rPr>
              <w:t>保险</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14000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2.</w:t>
            </w:r>
            <w:r>
              <w:rPr>
                <w:rFonts w:hint="eastAsia" w:ascii="宋体" w:hAnsi="宋体" w:cs="宋体"/>
                <w:sz w:val="18"/>
                <w:szCs w:val="18"/>
              </w:rPr>
              <w:t>法学类（</w:t>
            </w:r>
            <w:r>
              <w:rPr>
                <w:rFonts w:ascii="宋体" w:hAnsi="宋体" w:cs="宋体"/>
                <w:sz w:val="18"/>
                <w:szCs w:val="18"/>
              </w:rPr>
              <w:t>03</w:t>
            </w:r>
            <w:r>
              <w:rPr>
                <w:rFonts w:hint="eastAsia" w:ascii="宋体" w:hAnsi="宋体" w:cs="宋体"/>
                <w:sz w:val="18"/>
                <w:szCs w:val="18"/>
              </w:rPr>
              <w:t>）</w:t>
            </w: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sz w:val="18"/>
                <w:szCs w:val="18"/>
              </w:rPr>
            </w:pPr>
            <w:r>
              <w:rPr>
                <w:rFonts w:ascii="宋体" w:hAnsi="宋体" w:cs="宋体"/>
                <w:sz w:val="18"/>
                <w:szCs w:val="18"/>
              </w:rPr>
              <w:t xml:space="preserve">0351 </w:t>
            </w:r>
            <w:r>
              <w:rPr>
                <w:rFonts w:hint="eastAsia" w:ascii="宋体" w:hAnsi="宋体" w:cs="宋体"/>
                <w:sz w:val="18"/>
                <w:szCs w:val="18"/>
              </w:rPr>
              <w:t>法律</w:t>
            </w:r>
            <w:r>
              <w:rPr>
                <w:rFonts w:ascii="宋体" w:hAnsi="宋体" w:cs="宋体"/>
                <w:sz w:val="18"/>
                <w:szCs w:val="18"/>
              </w:rPr>
              <w:t xml:space="preserve"> </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16000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360" w:firstLineChars="200"/>
              <w:rPr>
                <w:rFonts w:ascii="宋体" w:cs="宋体"/>
                <w:sz w:val="18"/>
                <w:szCs w:val="18"/>
              </w:rPr>
            </w:pP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sz w:val="18"/>
                <w:szCs w:val="18"/>
              </w:rPr>
            </w:pPr>
            <w:r>
              <w:rPr>
                <w:rFonts w:ascii="宋体" w:hAnsi="宋体" w:cs="宋体"/>
                <w:sz w:val="18"/>
                <w:szCs w:val="18"/>
              </w:rPr>
              <w:t xml:space="preserve">0352 </w:t>
            </w:r>
            <w:r>
              <w:rPr>
                <w:rFonts w:hint="eastAsia" w:ascii="宋体" w:hAnsi="宋体" w:cs="宋体"/>
                <w:sz w:val="18"/>
                <w:szCs w:val="18"/>
              </w:rPr>
              <w:t>社会工作</w:t>
            </w:r>
            <w:r>
              <w:rPr>
                <w:rFonts w:ascii="宋体" w:hAnsi="宋体" w:cs="宋体"/>
                <w:sz w:val="18"/>
                <w:szCs w:val="18"/>
              </w:rPr>
              <w:t xml:space="preserve"> </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12000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3.</w:t>
            </w:r>
            <w:r>
              <w:rPr>
                <w:rFonts w:hint="eastAsia" w:ascii="宋体" w:hAnsi="宋体" w:cs="宋体"/>
                <w:sz w:val="18"/>
                <w:szCs w:val="18"/>
              </w:rPr>
              <w:t>教育类（</w:t>
            </w:r>
            <w:r>
              <w:rPr>
                <w:rFonts w:ascii="宋体" w:hAnsi="宋体" w:cs="宋体"/>
                <w:sz w:val="18"/>
                <w:szCs w:val="18"/>
              </w:rPr>
              <w:t>04</w:t>
            </w:r>
            <w:r>
              <w:rPr>
                <w:rFonts w:hint="eastAsia" w:ascii="宋体" w:hAnsi="宋体" w:cs="宋体"/>
                <w:sz w:val="18"/>
                <w:szCs w:val="18"/>
              </w:rPr>
              <w:t>）</w:t>
            </w: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0451 </w:t>
            </w:r>
            <w:r>
              <w:rPr>
                <w:rFonts w:hint="eastAsia" w:ascii="宋体" w:hAnsi="宋体" w:cs="宋体"/>
                <w:sz w:val="18"/>
                <w:szCs w:val="18"/>
              </w:rPr>
              <w:t>教育</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12000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360" w:firstLineChars="200"/>
              <w:rPr>
                <w:rFonts w:ascii="宋体" w:cs="宋体"/>
                <w:sz w:val="18"/>
                <w:szCs w:val="18"/>
              </w:rPr>
            </w:pP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0452 </w:t>
            </w:r>
            <w:r>
              <w:rPr>
                <w:rFonts w:hint="eastAsia" w:ascii="宋体" w:hAnsi="宋体" w:cs="宋体"/>
                <w:sz w:val="18"/>
                <w:szCs w:val="18"/>
              </w:rPr>
              <w:t>体育</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12000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4.</w:t>
            </w:r>
            <w:r>
              <w:rPr>
                <w:rFonts w:hint="eastAsia" w:ascii="宋体" w:hAnsi="宋体" w:cs="宋体"/>
                <w:sz w:val="18"/>
                <w:szCs w:val="18"/>
              </w:rPr>
              <w:t>文学类（</w:t>
            </w:r>
            <w:r>
              <w:rPr>
                <w:rFonts w:ascii="宋体" w:hAnsi="宋体" w:cs="宋体"/>
                <w:sz w:val="18"/>
                <w:szCs w:val="18"/>
              </w:rPr>
              <w:t>05</w:t>
            </w:r>
            <w:r>
              <w:rPr>
                <w:rFonts w:hint="eastAsia" w:ascii="宋体" w:hAnsi="宋体" w:cs="宋体"/>
                <w:sz w:val="18"/>
                <w:szCs w:val="18"/>
              </w:rPr>
              <w:t>）</w:t>
            </w: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0551 </w:t>
            </w:r>
            <w:r>
              <w:rPr>
                <w:rFonts w:hint="eastAsia" w:ascii="宋体" w:hAnsi="宋体" w:cs="宋体"/>
                <w:sz w:val="18"/>
                <w:szCs w:val="18"/>
              </w:rPr>
              <w:t>翻译</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20000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top w:val="nil"/>
              <w:left w:val="single" w:color="auto" w:sz="4" w:space="0"/>
              <w:bottom w:val="single" w:color="auto" w:sz="4" w:space="0"/>
              <w:right w:val="single" w:color="auto" w:sz="4" w:space="0"/>
            </w:tcBorders>
            <w:vAlign w:val="center"/>
          </w:tcPr>
          <w:p>
            <w:pPr>
              <w:widowControl/>
              <w:ind w:firstLine="360" w:firstLineChars="200"/>
              <w:rPr>
                <w:rFonts w:ascii="宋体" w:cs="宋体"/>
                <w:sz w:val="18"/>
                <w:szCs w:val="18"/>
              </w:rPr>
            </w:pP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0552 </w:t>
            </w:r>
            <w:r>
              <w:rPr>
                <w:rFonts w:hint="eastAsia" w:ascii="宋体" w:hAnsi="宋体" w:cs="宋体"/>
                <w:sz w:val="18"/>
                <w:szCs w:val="18"/>
              </w:rPr>
              <w:t>新闻与传播</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13000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restart"/>
            <w:tcBorders>
              <w:top w:val="nil"/>
              <w:left w:val="nil"/>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5.</w:t>
            </w:r>
            <w:r>
              <w:rPr>
                <w:rFonts w:hint="eastAsia" w:ascii="宋体" w:hAnsi="宋体" w:cs="宋体"/>
                <w:sz w:val="18"/>
                <w:szCs w:val="18"/>
              </w:rPr>
              <w:t>工学类（</w:t>
            </w:r>
            <w:r>
              <w:rPr>
                <w:rFonts w:ascii="宋体" w:hAnsi="宋体" w:cs="宋体"/>
                <w:sz w:val="18"/>
                <w:szCs w:val="18"/>
              </w:rPr>
              <w:t>08</w:t>
            </w:r>
            <w:r>
              <w:rPr>
                <w:rFonts w:hint="eastAsia" w:ascii="宋体" w:hAnsi="宋体" w:cs="宋体"/>
                <w:sz w:val="18"/>
                <w:szCs w:val="18"/>
              </w:rPr>
              <w:t>）</w:t>
            </w:r>
          </w:p>
          <w:p>
            <w:pPr>
              <w:ind w:firstLine="360" w:firstLineChars="200"/>
              <w:rPr>
                <w:rFonts w:ascii="宋体" w:cs="宋体"/>
                <w:sz w:val="18"/>
                <w:szCs w:val="18"/>
              </w:rPr>
            </w:pPr>
            <w:r>
              <w:rPr>
                <w:rFonts w:hint="eastAsia" w:ascii="宋体" w:hAnsi="宋体" w:cs="宋体"/>
                <w:sz w:val="18"/>
                <w:szCs w:val="18"/>
              </w:rPr>
              <w:t>　</w:t>
            </w: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0851 </w:t>
            </w:r>
            <w:r>
              <w:rPr>
                <w:rFonts w:hint="eastAsia" w:ascii="宋体" w:hAnsi="宋体" w:cs="宋体"/>
                <w:sz w:val="18"/>
                <w:szCs w:val="18"/>
              </w:rPr>
              <w:t>建筑学</w:t>
            </w:r>
          </w:p>
        </w:tc>
        <w:tc>
          <w:tcPr>
            <w:tcW w:w="2273" w:type="dxa"/>
            <w:vMerge w:val="restart"/>
            <w:tcBorders>
              <w:top w:val="nil"/>
              <w:left w:val="nil"/>
              <w:right w:val="single" w:color="auto" w:sz="4" w:space="0"/>
            </w:tcBorders>
            <w:shd w:val="clear" w:color="000000" w:fill="FFFFFF"/>
            <w:vAlign w:val="center"/>
          </w:tcPr>
          <w:p>
            <w:pPr>
              <w:ind w:firstLine="360" w:firstLineChars="200"/>
              <w:rPr>
                <w:rFonts w:ascii="宋体" w:cs="宋体"/>
                <w:sz w:val="18"/>
                <w:szCs w:val="18"/>
              </w:rPr>
            </w:pPr>
            <w:r>
              <w:rPr>
                <w:rFonts w:ascii="宋体" w:hAnsi="宋体" w:cs="宋体"/>
                <w:sz w:val="18"/>
                <w:szCs w:val="18"/>
              </w:rPr>
              <w:t>15000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restart"/>
            <w:tcBorders>
              <w:top w:val="single" w:color="auto" w:sz="4" w:space="0"/>
              <w:left w:val="nil"/>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0852</w:t>
            </w:r>
            <w:r>
              <w:rPr>
                <w:rFonts w:hint="eastAsia" w:ascii="宋体" w:hAnsi="宋体" w:cs="宋体"/>
                <w:sz w:val="18"/>
                <w:szCs w:val="18"/>
              </w:rPr>
              <w:t>工程</w:t>
            </w:r>
          </w:p>
          <w:p>
            <w:pPr>
              <w:ind w:firstLine="360" w:firstLineChars="200"/>
              <w:rPr>
                <w:rFonts w:ascii="宋体" w:cs="宋体"/>
                <w:sz w:val="18"/>
                <w:szCs w:val="18"/>
              </w:rPr>
            </w:pPr>
            <w:r>
              <w:rPr>
                <w:rFonts w:hint="eastAsia" w:ascii="宋体" w:hAnsi="宋体" w:cs="宋体"/>
                <w:sz w:val="18"/>
                <w:szCs w:val="18"/>
              </w:rPr>
              <w:t>　</w:t>
            </w:r>
          </w:p>
        </w:tc>
        <w:tc>
          <w:tcPr>
            <w:tcW w:w="2263" w:type="dxa"/>
            <w:tcBorders>
              <w:top w:val="nil"/>
              <w:left w:val="nil"/>
              <w:bottom w:val="nil"/>
              <w:right w:val="single" w:color="auto" w:sz="4" w:space="0"/>
            </w:tcBorders>
            <w:shd w:val="clear" w:color="000000" w:fill="FFFFFF"/>
            <w:vAlign w:val="center"/>
          </w:tcPr>
          <w:p>
            <w:pPr>
              <w:rPr>
                <w:rFonts w:ascii="宋体" w:cs="宋体"/>
                <w:sz w:val="18"/>
                <w:szCs w:val="18"/>
              </w:rPr>
            </w:pPr>
            <w:r>
              <w:rPr>
                <w:rFonts w:ascii="宋体" w:hAnsi="宋体" w:cs="宋体"/>
                <w:sz w:val="18"/>
                <w:szCs w:val="18"/>
              </w:rPr>
              <w:t xml:space="preserve">085201 </w:t>
            </w:r>
            <w:r>
              <w:rPr>
                <w:rFonts w:hint="eastAsia" w:ascii="宋体" w:hAnsi="宋体" w:cs="宋体"/>
                <w:sz w:val="18"/>
                <w:szCs w:val="18"/>
              </w:rPr>
              <w:t>机械工程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sz w:val="18"/>
                <w:szCs w:val="18"/>
              </w:rPr>
            </w:pPr>
            <w:r>
              <w:rPr>
                <w:rFonts w:ascii="宋体" w:hAnsi="宋体" w:cs="宋体"/>
                <w:sz w:val="18"/>
                <w:szCs w:val="18"/>
              </w:rPr>
              <w:t xml:space="preserve">085204 </w:t>
            </w:r>
            <w:r>
              <w:rPr>
                <w:rFonts w:hint="eastAsia" w:ascii="宋体" w:hAnsi="宋体" w:cs="宋体"/>
                <w:sz w:val="18"/>
                <w:szCs w:val="18"/>
              </w:rPr>
              <w:t>材料工程</w:t>
            </w:r>
            <w:r>
              <w:rPr>
                <w:rFonts w:ascii="宋体" w:hAnsi="宋体" w:cs="宋体"/>
                <w:sz w:val="18"/>
                <w:szCs w:val="18"/>
              </w:rPr>
              <w:t xml:space="preserve"> </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085205 </w:t>
            </w:r>
            <w:r>
              <w:rPr>
                <w:rFonts w:hint="eastAsia" w:ascii="宋体" w:hAnsi="宋体" w:cs="宋体"/>
                <w:sz w:val="18"/>
                <w:szCs w:val="18"/>
              </w:rPr>
              <w:t>冶金工程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085206 </w:t>
            </w:r>
            <w:r>
              <w:rPr>
                <w:rFonts w:hint="eastAsia" w:ascii="宋体" w:hAnsi="宋体" w:cs="宋体"/>
                <w:sz w:val="18"/>
                <w:szCs w:val="18"/>
              </w:rPr>
              <w:t>动力工程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085207 </w:t>
            </w:r>
            <w:r>
              <w:rPr>
                <w:rFonts w:hint="eastAsia" w:ascii="宋体" w:hAnsi="宋体" w:cs="宋体"/>
                <w:sz w:val="18"/>
                <w:szCs w:val="18"/>
              </w:rPr>
              <w:t>电气工程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085208 </w:t>
            </w:r>
            <w:r>
              <w:rPr>
                <w:rFonts w:hint="eastAsia" w:ascii="宋体" w:hAnsi="宋体" w:cs="宋体"/>
                <w:sz w:val="18"/>
                <w:szCs w:val="18"/>
              </w:rPr>
              <w:t>电子与通信工程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085209 </w:t>
            </w:r>
            <w:r>
              <w:rPr>
                <w:rFonts w:hint="eastAsia" w:ascii="宋体" w:hAnsi="宋体" w:cs="宋体"/>
                <w:sz w:val="18"/>
                <w:szCs w:val="18"/>
              </w:rPr>
              <w:t>集成电路工程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sz w:val="18"/>
                <w:szCs w:val="18"/>
              </w:rPr>
            </w:pPr>
            <w:r>
              <w:rPr>
                <w:rFonts w:ascii="宋体" w:hAnsi="宋体" w:cs="宋体"/>
                <w:sz w:val="18"/>
                <w:szCs w:val="18"/>
              </w:rPr>
              <w:t xml:space="preserve">085210 </w:t>
            </w:r>
            <w:r>
              <w:rPr>
                <w:rFonts w:hint="eastAsia" w:ascii="宋体" w:hAnsi="宋体" w:cs="宋体"/>
                <w:sz w:val="18"/>
                <w:szCs w:val="18"/>
              </w:rPr>
              <w:t>控制工程</w:t>
            </w:r>
            <w:r>
              <w:rPr>
                <w:rFonts w:ascii="宋体" w:hAnsi="宋体" w:cs="宋体"/>
                <w:sz w:val="18"/>
                <w:szCs w:val="18"/>
              </w:rPr>
              <w:t xml:space="preserve"> </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sz w:val="18"/>
                <w:szCs w:val="18"/>
              </w:rPr>
            </w:pPr>
            <w:r>
              <w:rPr>
                <w:rFonts w:ascii="宋体" w:hAnsi="宋体" w:cs="宋体"/>
                <w:sz w:val="18"/>
                <w:szCs w:val="18"/>
              </w:rPr>
              <w:t xml:space="preserve">085211 </w:t>
            </w:r>
            <w:r>
              <w:rPr>
                <w:rFonts w:hint="eastAsia" w:ascii="宋体" w:hAnsi="宋体" w:cs="宋体"/>
                <w:sz w:val="18"/>
                <w:szCs w:val="18"/>
              </w:rPr>
              <w:t>计算机技术</w:t>
            </w:r>
            <w:r>
              <w:rPr>
                <w:rFonts w:ascii="宋体" w:hAnsi="宋体" w:cs="宋体"/>
                <w:sz w:val="18"/>
                <w:szCs w:val="18"/>
              </w:rPr>
              <w:t xml:space="preserve"> </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085212 </w:t>
            </w:r>
            <w:r>
              <w:rPr>
                <w:rFonts w:hint="eastAsia" w:ascii="宋体" w:hAnsi="宋体" w:cs="宋体"/>
                <w:sz w:val="18"/>
                <w:szCs w:val="18"/>
              </w:rPr>
              <w:t>软件工程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085213 </w:t>
            </w:r>
            <w:r>
              <w:rPr>
                <w:rFonts w:hint="eastAsia" w:ascii="宋体" w:hAnsi="宋体" w:cs="宋体"/>
                <w:sz w:val="18"/>
                <w:szCs w:val="18"/>
              </w:rPr>
              <w:t>建筑与土木工程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085215 </w:t>
            </w:r>
            <w:r>
              <w:rPr>
                <w:rFonts w:hint="eastAsia" w:ascii="宋体" w:hAnsi="宋体" w:cs="宋体"/>
                <w:sz w:val="18"/>
                <w:szCs w:val="18"/>
              </w:rPr>
              <w:t>测绘工程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bottom w:val="single" w:color="auto" w:sz="4" w:space="0"/>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bottom w:val="single" w:color="auto" w:sz="4" w:space="0"/>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085216 </w:t>
            </w:r>
            <w:r>
              <w:rPr>
                <w:rFonts w:hint="eastAsia" w:ascii="宋体" w:hAnsi="宋体" w:cs="宋体"/>
                <w:sz w:val="18"/>
                <w:szCs w:val="18"/>
              </w:rPr>
              <w:t>化学工程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top w:val="single" w:color="auto" w:sz="4" w:space="0"/>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top w:val="single" w:color="auto" w:sz="4" w:space="0"/>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single" w:color="auto" w:sz="4" w:space="0"/>
              <w:left w:val="nil"/>
              <w:bottom w:val="single" w:color="auto" w:sz="4" w:space="0"/>
              <w:right w:val="single" w:color="auto" w:sz="4" w:space="0"/>
            </w:tcBorders>
            <w:shd w:val="clear" w:color="000000" w:fill="FFFFFF"/>
          </w:tcPr>
          <w:p>
            <w:pPr>
              <w:widowControl/>
              <w:rPr>
                <w:rFonts w:ascii="宋体" w:cs="宋体"/>
                <w:sz w:val="18"/>
                <w:szCs w:val="18"/>
              </w:rPr>
            </w:pPr>
            <w:r>
              <w:rPr>
                <w:rFonts w:ascii="宋体" w:hAnsi="宋体" w:cs="宋体"/>
                <w:sz w:val="18"/>
                <w:szCs w:val="18"/>
              </w:rPr>
              <w:t xml:space="preserve">085217 </w:t>
            </w:r>
            <w:r>
              <w:rPr>
                <w:rFonts w:hint="eastAsia" w:ascii="宋体" w:hAnsi="宋体" w:cs="宋体"/>
                <w:sz w:val="18"/>
                <w:szCs w:val="18"/>
              </w:rPr>
              <w:t>地质工程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085218 </w:t>
            </w:r>
            <w:r>
              <w:rPr>
                <w:rFonts w:hint="eastAsia" w:ascii="宋体" w:hAnsi="宋体" w:cs="宋体"/>
                <w:sz w:val="18"/>
                <w:szCs w:val="18"/>
              </w:rPr>
              <w:t>矿业工程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085222 </w:t>
            </w:r>
            <w:r>
              <w:rPr>
                <w:rFonts w:hint="eastAsia" w:ascii="宋体" w:hAnsi="宋体" w:cs="宋体"/>
                <w:sz w:val="18"/>
                <w:szCs w:val="18"/>
              </w:rPr>
              <w:t>交通运输工程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085224 </w:t>
            </w:r>
            <w:r>
              <w:rPr>
                <w:rFonts w:hint="eastAsia" w:ascii="宋体" w:hAnsi="宋体" w:cs="宋体"/>
                <w:sz w:val="18"/>
                <w:szCs w:val="18"/>
              </w:rPr>
              <w:t>安全工程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085229 </w:t>
            </w:r>
            <w:r>
              <w:rPr>
                <w:rFonts w:hint="eastAsia" w:ascii="宋体" w:hAnsi="宋体" w:cs="宋体"/>
                <w:sz w:val="18"/>
                <w:szCs w:val="18"/>
              </w:rPr>
              <w:t>环境工程</w:t>
            </w:r>
          </w:p>
        </w:tc>
        <w:tc>
          <w:tcPr>
            <w:tcW w:w="2273" w:type="dxa"/>
            <w:vMerge w:val="continue"/>
            <w:tcBorders>
              <w:left w:val="nil"/>
              <w:bottom w:val="single" w:color="auto" w:sz="4" w:space="0"/>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085230 </w:t>
            </w:r>
            <w:r>
              <w:rPr>
                <w:rFonts w:hint="eastAsia" w:ascii="宋体" w:hAnsi="宋体" w:cs="宋体"/>
                <w:sz w:val="18"/>
                <w:szCs w:val="18"/>
              </w:rPr>
              <w:t>生物医学工程</w:t>
            </w:r>
          </w:p>
        </w:tc>
        <w:tc>
          <w:tcPr>
            <w:tcW w:w="2273" w:type="dxa"/>
            <w:vMerge w:val="restart"/>
            <w:tcBorders>
              <w:top w:val="single" w:color="auto" w:sz="4" w:space="0"/>
              <w:left w:val="nil"/>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15000</w:t>
            </w:r>
          </w:p>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085234 </w:t>
            </w:r>
            <w:r>
              <w:rPr>
                <w:rFonts w:hint="eastAsia" w:ascii="宋体" w:hAnsi="宋体" w:cs="宋体"/>
                <w:sz w:val="18"/>
                <w:szCs w:val="18"/>
              </w:rPr>
              <w:t>车辆工程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sz w:val="18"/>
                <w:szCs w:val="18"/>
              </w:rPr>
            </w:pPr>
            <w:r>
              <w:rPr>
                <w:rFonts w:ascii="宋体" w:hAnsi="宋体" w:cs="宋体"/>
                <w:sz w:val="18"/>
                <w:szCs w:val="18"/>
              </w:rPr>
              <w:t xml:space="preserve">085235 </w:t>
            </w:r>
            <w:r>
              <w:rPr>
                <w:rFonts w:hint="eastAsia" w:ascii="宋体" w:hAnsi="宋体" w:cs="宋体"/>
                <w:sz w:val="18"/>
                <w:szCs w:val="18"/>
              </w:rPr>
              <w:t>制药工程</w:t>
            </w:r>
            <w:r>
              <w:rPr>
                <w:rFonts w:ascii="宋体" w:hAnsi="宋体" w:cs="宋体"/>
                <w:sz w:val="18"/>
                <w:szCs w:val="18"/>
              </w:rPr>
              <w:t xml:space="preserve"> </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085238 </w:t>
            </w:r>
            <w:r>
              <w:rPr>
                <w:rFonts w:hint="eastAsia" w:ascii="宋体" w:hAnsi="宋体" w:cs="宋体"/>
                <w:sz w:val="18"/>
                <w:szCs w:val="18"/>
              </w:rPr>
              <w:t>生物工程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hAnsi="宋体" w:cs="宋体"/>
                <w:sz w:val="18"/>
                <w:szCs w:val="18"/>
              </w:rPr>
            </w:pPr>
            <w:r>
              <w:rPr>
                <w:rFonts w:ascii="宋体" w:hAnsi="宋体" w:cs="宋体"/>
                <w:sz w:val="18"/>
                <w:szCs w:val="18"/>
              </w:rPr>
              <w:t xml:space="preserve">085239 </w:t>
            </w:r>
            <w:r>
              <w:rPr>
                <w:rFonts w:hint="eastAsia" w:ascii="宋体" w:hAnsi="宋体" w:cs="宋体"/>
                <w:sz w:val="18"/>
                <w:szCs w:val="18"/>
              </w:rPr>
              <w:t>项目管理</w:t>
            </w:r>
            <w:r>
              <w:rPr>
                <w:rFonts w:ascii="宋体" w:hAnsi="宋体" w:cs="宋体"/>
                <w:sz w:val="18"/>
                <w:szCs w:val="18"/>
              </w:rPr>
              <w:t xml:space="preserve"> </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559" w:type="dxa"/>
            <w:gridSpan w:val="3"/>
            <w:vMerge w:val="continue"/>
            <w:tcBorders>
              <w:left w:val="nil"/>
              <w:right w:val="single" w:color="auto" w:sz="4" w:space="0"/>
            </w:tcBorders>
            <w:shd w:val="clear" w:color="000000" w:fill="FFFFFF"/>
            <w:vAlign w:val="center"/>
          </w:tcPr>
          <w:p>
            <w:pPr>
              <w:widowControl/>
              <w:ind w:firstLine="360" w:firstLineChars="200"/>
              <w:rPr>
                <w:rFonts w:ascii="宋体" w:cs="宋体"/>
                <w:sz w:val="18"/>
                <w:szCs w:val="18"/>
              </w:rPr>
            </w:pPr>
          </w:p>
        </w:tc>
        <w:tc>
          <w:tcPr>
            <w:tcW w:w="2263" w:type="dxa"/>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085240 </w:t>
            </w:r>
            <w:r>
              <w:rPr>
                <w:rFonts w:hint="eastAsia" w:ascii="宋体" w:hAnsi="宋体" w:cs="宋体"/>
                <w:sz w:val="18"/>
                <w:szCs w:val="18"/>
              </w:rPr>
              <w:t>物流工程</w:t>
            </w:r>
          </w:p>
        </w:tc>
        <w:tc>
          <w:tcPr>
            <w:tcW w:w="2273"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widowControl/>
              <w:ind w:firstLine="360" w:firstLineChars="200"/>
              <w:rPr>
                <w:rFonts w:ascii="宋体" w:cs="宋体"/>
                <w:sz w:val="18"/>
                <w:szCs w:val="18"/>
              </w:rPr>
            </w:pP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0853 </w:t>
            </w:r>
            <w:r>
              <w:rPr>
                <w:rFonts w:hint="eastAsia" w:ascii="宋体" w:hAnsi="宋体" w:cs="宋体"/>
                <w:sz w:val="18"/>
                <w:szCs w:val="18"/>
              </w:rPr>
              <w:t>城市规划</w:t>
            </w:r>
          </w:p>
        </w:tc>
        <w:tc>
          <w:tcPr>
            <w:tcW w:w="2273" w:type="dxa"/>
            <w:vMerge w:val="continue"/>
            <w:tcBorders>
              <w:left w:val="nil"/>
              <w:bottom w:val="single" w:color="auto" w:sz="4" w:space="0"/>
              <w:right w:val="single" w:color="auto" w:sz="4" w:space="0"/>
            </w:tcBorders>
            <w:shd w:val="clear" w:color="000000" w:fill="FFFFFF"/>
            <w:vAlign w:val="center"/>
          </w:tcPr>
          <w:p>
            <w:pPr>
              <w:widowControl/>
              <w:ind w:firstLine="360" w:firstLineChars="200"/>
              <w:rPr>
                <w:rFonts w:ascii="宋体" w:cs="宋体"/>
                <w:sz w:val="18"/>
                <w:szCs w:val="18"/>
              </w:rPr>
            </w:pP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restart"/>
            <w:tcBorders>
              <w:top w:val="single" w:color="auto" w:sz="4" w:space="0"/>
              <w:left w:val="nil"/>
              <w:right w:val="single" w:color="auto" w:sz="4" w:space="0"/>
            </w:tcBorders>
            <w:shd w:val="clear" w:color="000000" w:fill="FFFFFF"/>
            <w:vAlign w:val="center"/>
          </w:tcPr>
          <w:p>
            <w:pPr>
              <w:rPr>
                <w:rFonts w:ascii="宋体" w:cs="宋体"/>
                <w:sz w:val="18"/>
                <w:szCs w:val="18"/>
              </w:rPr>
            </w:pPr>
            <w:r>
              <w:rPr>
                <w:rFonts w:ascii="宋体" w:hAnsi="宋体" w:cs="宋体"/>
                <w:sz w:val="18"/>
                <w:szCs w:val="18"/>
              </w:rPr>
              <w:t>6.</w:t>
            </w:r>
            <w:r>
              <w:rPr>
                <w:rFonts w:hint="eastAsia" w:ascii="宋体" w:hAnsi="宋体" w:cs="宋体"/>
                <w:sz w:val="18"/>
                <w:szCs w:val="18"/>
              </w:rPr>
              <w:t>医学类（</w:t>
            </w:r>
            <w:r>
              <w:rPr>
                <w:rFonts w:ascii="宋体" w:hAnsi="宋体" w:cs="宋体"/>
                <w:sz w:val="18"/>
                <w:szCs w:val="18"/>
              </w:rPr>
              <w:t>10</w:t>
            </w:r>
            <w:r>
              <w:rPr>
                <w:rFonts w:hint="eastAsia" w:ascii="宋体" w:hAnsi="宋体" w:cs="宋体"/>
                <w:sz w:val="18"/>
                <w:szCs w:val="18"/>
              </w:rPr>
              <w:t>）</w:t>
            </w: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sz w:val="18"/>
                <w:szCs w:val="18"/>
              </w:rPr>
            </w:pPr>
            <w:r>
              <w:rPr>
                <w:rFonts w:ascii="宋体" w:hAnsi="宋体" w:cs="宋体"/>
                <w:sz w:val="18"/>
                <w:szCs w:val="18"/>
              </w:rPr>
              <w:t xml:space="preserve">1053 </w:t>
            </w:r>
            <w:r>
              <w:rPr>
                <w:rFonts w:hint="eastAsia" w:ascii="宋体" w:hAnsi="宋体" w:cs="宋体"/>
                <w:sz w:val="18"/>
                <w:szCs w:val="18"/>
              </w:rPr>
              <w:t>公共卫生</w:t>
            </w:r>
            <w:r>
              <w:rPr>
                <w:rFonts w:ascii="宋体" w:hAnsi="宋体" w:cs="宋体"/>
                <w:sz w:val="18"/>
                <w:szCs w:val="18"/>
              </w:rPr>
              <w:t xml:space="preserve"> </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12000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sz w:val="18"/>
                <w:szCs w:val="18"/>
              </w:rPr>
            </w:pPr>
            <w:r>
              <w:rPr>
                <w:rFonts w:ascii="宋体" w:hAnsi="宋体" w:cs="宋体"/>
                <w:sz w:val="18"/>
                <w:szCs w:val="18"/>
              </w:rPr>
              <w:t xml:space="preserve">1054 </w:t>
            </w:r>
            <w:r>
              <w:rPr>
                <w:rFonts w:hint="eastAsia" w:ascii="宋体" w:hAnsi="宋体" w:cs="宋体"/>
                <w:sz w:val="18"/>
                <w:szCs w:val="18"/>
              </w:rPr>
              <w:t>护理</w:t>
            </w:r>
            <w:r>
              <w:rPr>
                <w:rFonts w:ascii="宋体" w:hAnsi="宋体" w:cs="宋体"/>
                <w:sz w:val="18"/>
                <w:szCs w:val="18"/>
              </w:rPr>
              <w:t xml:space="preserve"> </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14000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bottom w:val="single" w:color="auto" w:sz="4" w:space="0"/>
              <w:right w:val="single" w:color="auto" w:sz="4" w:space="0"/>
            </w:tcBorders>
            <w:shd w:val="clear" w:color="000000" w:fill="FFFFFF"/>
            <w:vAlign w:val="center"/>
          </w:tcPr>
          <w:p>
            <w:pPr>
              <w:widowControl/>
              <w:ind w:firstLine="360" w:firstLineChars="200"/>
              <w:rPr>
                <w:rFonts w:ascii="宋体" w:cs="宋体"/>
                <w:sz w:val="18"/>
                <w:szCs w:val="18"/>
              </w:rPr>
            </w:pP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1055 </w:t>
            </w:r>
            <w:r>
              <w:rPr>
                <w:rFonts w:hint="eastAsia" w:ascii="宋体" w:hAnsi="宋体" w:cs="宋体"/>
                <w:sz w:val="18"/>
                <w:szCs w:val="18"/>
              </w:rPr>
              <w:t>药学</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10000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widowControl/>
              <w:ind w:firstLine="360" w:firstLineChars="200"/>
              <w:rPr>
                <w:rFonts w:ascii="宋体" w:cs="宋体"/>
                <w:sz w:val="18"/>
                <w:szCs w:val="18"/>
              </w:rPr>
            </w:pPr>
          </w:p>
        </w:tc>
        <w:tc>
          <w:tcPr>
            <w:tcW w:w="1701" w:type="dxa"/>
            <w:vMerge w:val="restart"/>
            <w:tcBorders>
              <w:top w:val="single" w:color="auto" w:sz="4" w:space="0"/>
              <w:left w:val="nil"/>
              <w:right w:val="single" w:color="auto" w:sz="4" w:space="0"/>
            </w:tcBorders>
            <w:shd w:val="clear" w:color="000000" w:fill="FFFFFF"/>
            <w:vAlign w:val="center"/>
          </w:tcPr>
          <w:p>
            <w:pPr>
              <w:rPr>
                <w:rFonts w:ascii="宋体" w:cs="宋体"/>
                <w:sz w:val="18"/>
                <w:szCs w:val="18"/>
              </w:rPr>
            </w:pPr>
            <w:r>
              <w:rPr>
                <w:rFonts w:ascii="宋体" w:hAnsi="宋体" w:cs="宋体"/>
                <w:sz w:val="18"/>
                <w:szCs w:val="18"/>
              </w:rPr>
              <w:t>7.</w:t>
            </w:r>
            <w:r>
              <w:rPr>
                <w:rFonts w:hint="eastAsia" w:ascii="宋体" w:hAnsi="宋体" w:cs="宋体"/>
                <w:sz w:val="18"/>
                <w:szCs w:val="18"/>
              </w:rPr>
              <w:t>管理学类（</w:t>
            </w:r>
            <w:r>
              <w:rPr>
                <w:rFonts w:ascii="宋体" w:hAnsi="宋体" w:cs="宋体"/>
                <w:sz w:val="18"/>
                <w:szCs w:val="18"/>
              </w:rPr>
              <w:t>12</w:t>
            </w:r>
            <w:r>
              <w:rPr>
                <w:rFonts w:hint="eastAsia" w:ascii="宋体" w:hAnsi="宋体" w:cs="宋体"/>
                <w:sz w:val="18"/>
                <w:szCs w:val="18"/>
              </w:rPr>
              <w:t>）　</w:t>
            </w: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1251 </w:t>
            </w:r>
            <w:r>
              <w:rPr>
                <w:rFonts w:hint="eastAsia" w:ascii="宋体" w:hAnsi="宋体" w:cs="宋体"/>
                <w:sz w:val="18"/>
                <w:szCs w:val="18"/>
              </w:rPr>
              <w:t>工商管理（</w:t>
            </w:r>
            <w:r>
              <w:rPr>
                <w:rFonts w:ascii="宋体" w:hAnsi="宋体" w:cs="宋体"/>
                <w:sz w:val="18"/>
                <w:szCs w:val="18"/>
              </w:rPr>
              <w:t>MBA</w:t>
            </w:r>
            <w:r>
              <w:rPr>
                <w:rFonts w:hint="eastAsia" w:ascii="宋体" w:hAnsi="宋体" w:cs="宋体"/>
                <w:sz w:val="18"/>
                <w:szCs w:val="18"/>
              </w:rPr>
              <w:t>）（不含深圳研究院）</w:t>
            </w:r>
          </w:p>
        </w:tc>
        <w:tc>
          <w:tcPr>
            <w:tcW w:w="2273" w:type="dxa"/>
            <w:tcBorders>
              <w:top w:val="single" w:color="auto" w:sz="4" w:space="0"/>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30000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rPr>
                <w:rFonts w:ascii="宋体" w:cs="宋体"/>
                <w:sz w:val="18"/>
                <w:szCs w:val="18"/>
              </w:rPr>
            </w:pP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1251 </w:t>
            </w:r>
            <w:r>
              <w:rPr>
                <w:rFonts w:hint="eastAsia" w:ascii="宋体" w:hAnsi="宋体" w:cs="宋体"/>
                <w:sz w:val="18"/>
                <w:szCs w:val="18"/>
              </w:rPr>
              <w:t>工商管理（</w:t>
            </w:r>
            <w:r>
              <w:rPr>
                <w:rFonts w:ascii="宋体" w:hAnsi="宋体" w:cs="宋体"/>
                <w:sz w:val="18"/>
                <w:szCs w:val="18"/>
              </w:rPr>
              <w:t>MBA</w:t>
            </w:r>
            <w:r>
              <w:rPr>
                <w:rFonts w:hint="eastAsia" w:ascii="宋体" w:hAnsi="宋体" w:cs="宋体"/>
                <w:sz w:val="18"/>
                <w:szCs w:val="18"/>
              </w:rPr>
              <w:t>）（深圳研究院）</w:t>
            </w:r>
          </w:p>
        </w:tc>
        <w:tc>
          <w:tcPr>
            <w:tcW w:w="2273" w:type="dxa"/>
            <w:tcBorders>
              <w:top w:val="single" w:color="auto" w:sz="4" w:space="0"/>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42000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1252 </w:t>
            </w:r>
            <w:r>
              <w:rPr>
                <w:rFonts w:hint="eastAsia" w:ascii="宋体" w:hAnsi="宋体" w:cs="宋体"/>
                <w:sz w:val="18"/>
                <w:szCs w:val="18"/>
              </w:rPr>
              <w:t>公共管理（</w:t>
            </w:r>
            <w:r>
              <w:rPr>
                <w:rFonts w:ascii="宋体" w:hAnsi="宋体" w:cs="宋体"/>
                <w:sz w:val="18"/>
                <w:szCs w:val="18"/>
              </w:rPr>
              <w:t>MPA</w:t>
            </w:r>
            <w:r>
              <w:rPr>
                <w:rFonts w:hint="eastAsia" w:ascii="宋体" w:hAnsi="宋体" w:cs="宋体"/>
                <w:sz w:val="18"/>
                <w:szCs w:val="18"/>
              </w:rPr>
              <w:t>）</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16000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1253 </w:t>
            </w:r>
            <w:r>
              <w:rPr>
                <w:rFonts w:hint="eastAsia" w:ascii="宋体" w:hAnsi="宋体" w:cs="宋体"/>
                <w:sz w:val="18"/>
                <w:szCs w:val="18"/>
              </w:rPr>
              <w:t>会计</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20000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1255 </w:t>
            </w:r>
            <w:r>
              <w:rPr>
                <w:rFonts w:hint="eastAsia" w:ascii="宋体" w:hAnsi="宋体" w:cs="宋体"/>
                <w:sz w:val="18"/>
                <w:szCs w:val="18"/>
              </w:rPr>
              <w:t>图书情报</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18000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bottom w:val="single" w:color="auto" w:sz="4" w:space="0"/>
              <w:right w:val="single" w:color="auto" w:sz="4" w:space="0"/>
            </w:tcBorders>
            <w:shd w:val="clear" w:color="000000" w:fill="FFFFFF"/>
            <w:vAlign w:val="center"/>
          </w:tcPr>
          <w:p>
            <w:pPr>
              <w:widowControl/>
              <w:ind w:firstLine="360" w:firstLineChars="200"/>
              <w:rPr>
                <w:rFonts w:ascii="宋体" w:cs="宋体"/>
                <w:sz w:val="18"/>
                <w:szCs w:val="18"/>
              </w:rPr>
            </w:pPr>
          </w:p>
        </w:tc>
        <w:tc>
          <w:tcPr>
            <w:tcW w:w="3822" w:type="dxa"/>
            <w:gridSpan w:val="4"/>
            <w:tcBorders>
              <w:top w:val="single" w:color="auto" w:sz="4" w:space="0"/>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1256 </w:t>
            </w:r>
            <w:r>
              <w:rPr>
                <w:rFonts w:hint="eastAsia" w:ascii="宋体" w:hAnsi="宋体" w:cs="宋体"/>
                <w:sz w:val="18"/>
                <w:szCs w:val="18"/>
              </w:rPr>
              <w:t>工程管理</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24000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restart"/>
            <w:tcBorders>
              <w:top w:val="nil"/>
              <w:left w:val="nil"/>
              <w:right w:val="single" w:color="auto" w:sz="4" w:space="0"/>
            </w:tcBorders>
            <w:shd w:val="clear" w:color="000000" w:fill="FFFFFF"/>
            <w:vAlign w:val="center"/>
          </w:tcPr>
          <w:p>
            <w:pPr>
              <w:widowControl/>
              <w:ind w:firstLine="360" w:firstLineChars="200"/>
              <w:rPr>
                <w:rFonts w:ascii="宋体" w:cs="宋体"/>
                <w:sz w:val="18"/>
                <w:szCs w:val="18"/>
              </w:rPr>
            </w:pPr>
            <w:r>
              <w:rPr>
                <w:rFonts w:hint="eastAsia" w:ascii="宋体" w:hAnsi="宋体" w:cs="宋体"/>
                <w:sz w:val="18"/>
                <w:szCs w:val="18"/>
              </w:rPr>
              <w:t>　</w:t>
            </w:r>
          </w:p>
          <w:p>
            <w:pPr>
              <w:widowControl/>
              <w:rPr>
                <w:rFonts w:ascii="宋体" w:cs="宋体"/>
                <w:sz w:val="18"/>
                <w:szCs w:val="18"/>
              </w:rPr>
            </w:pPr>
            <w:r>
              <w:rPr>
                <w:rFonts w:ascii="宋体" w:hAnsi="宋体" w:cs="宋体"/>
                <w:sz w:val="18"/>
                <w:szCs w:val="18"/>
              </w:rPr>
              <w:t>8.</w:t>
            </w:r>
            <w:r>
              <w:rPr>
                <w:rFonts w:hint="eastAsia" w:ascii="宋体" w:hAnsi="宋体" w:cs="宋体"/>
                <w:sz w:val="18"/>
                <w:szCs w:val="18"/>
              </w:rPr>
              <w:t>艺术学类（</w:t>
            </w:r>
            <w:r>
              <w:rPr>
                <w:rFonts w:ascii="宋体" w:hAnsi="宋体" w:cs="宋体"/>
                <w:sz w:val="18"/>
                <w:szCs w:val="18"/>
              </w:rPr>
              <w:t>13</w:t>
            </w:r>
            <w:r>
              <w:rPr>
                <w:rFonts w:hint="eastAsia" w:ascii="宋体" w:hAnsi="宋体" w:cs="宋体"/>
                <w:sz w:val="18"/>
                <w:szCs w:val="18"/>
              </w:rPr>
              <w:t>）</w:t>
            </w:r>
          </w:p>
          <w:p>
            <w:pPr>
              <w:widowControl/>
              <w:ind w:firstLine="360" w:firstLineChars="200"/>
              <w:rPr>
                <w:rFonts w:ascii="宋体" w:cs="宋体"/>
                <w:sz w:val="18"/>
                <w:szCs w:val="18"/>
              </w:rPr>
            </w:pPr>
            <w:r>
              <w:rPr>
                <w:rFonts w:hint="eastAsia" w:ascii="宋体" w:hAnsi="宋体" w:cs="宋体"/>
                <w:sz w:val="18"/>
                <w:szCs w:val="18"/>
              </w:rPr>
              <w:t>　</w:t>
            </w:r>
          </w:p>
          <w:p>
            <w:pPr>
              <w:ind w:firstLine="360" w:firstLineChars="200"/>
              <w:rPr>
                <w:rFonts w:ascii="宋体" w:cs="宋体"/>
                <w:sz w:val="18"/>
                <w:szCs w:val="18"/>
              </w:rPr>
            </w:pPr>
          </w:p>
        </w:tc>
        <w:tc>
          <w:tcPr>
            <w:tcW w:w="1022" w:type="dxa"/>
            <w:gridSpan w:val="2"/>
            <w:vMerge w:val="restart"/>
            <w:tcBorders>
              <w:top w:val="nil"/>
              <w:left w:val="nil"/>
              <w:right w:val="single" w:color="auto" w:sz="4" w:space="0"/>
            </w:tcBorders>
            <w:shd w:val="clear" w:color="000000" w:fill="FFFFFF"/>
            <w:vAlign w:val="center"/>
          </w:tcPr>
          <w:p>
            <w:pPr>
              <w:widowControl/>
              <w:ind w:firstLine="360" w:firstLineChars="200"/>
              <w:rPr>
                <w:rFonts w:ascii="宋体" w:cs="宋体"/>
                <w:sz w:val="18"/>
                <w:szCs w:val="18"/>
              </w:rPr>
            </w:pPr>
            <w:r>
              <w:rPr>
                <w:rFonts w:hint="eastAsia" w:ascii="宋体" w:hAnsi="宋体" w:cs="宋体"/>
                <w:sz w:val="18"/>
                <w:szCs w:val="18"/>
              </w:rPr>
              <w:t>　</w:t>
            </w:r>
          </w:p>
          <w:p>
            <w:pPr>
              <w:widowControl/>
              <w:rPr>
                <w:rFonts w:ascii="宋体" w:cs="宋体"/>
                <w:sz w:val="18"/>
                <w:szCs w:val="18"/>
              </w:rPr>
            </w:pPr>
            <w:r>
              <w:rPr>
                <w:rFonts w:ascii="宋体" w:hAnsi="宋体" w:cs="宋体"/>
                <w:sz w:val="18"/>
                <w:szCs w:val="18"/>
              </w:rPr>
              <w:t>1351</w:t>
            </w:r>
            <w:r>
              <w:rPr>
                <w:rFonts w:hint="eastAsia" w:ascii="宋体" w:hAnsi="宋体" w:cs="宋体"/>
                <w:sz w:val="18"/>
                <w:szCs w:val="18"/>
              </w:rPr>
              <w:t>艺术</w:t>
            </w:r>
          </w:p>
          <w:p>
            <w:pPr>
              <w:ind w:firstLine="360" w:firstLineChars="200"/>
              <w:rPr>
                <w:rFonts w:ascii="宋体" w:cs="宋体"/>
                <w:sz w:val="18"/>
                <w:szCs w:val="18"/>
              </w:rPr>
            </w:pPr>
            <w:r>
              <w:rPr>
                <w:rFonts w:hint="eastAsia" w:ascii="宋体" w:hAnsi="宋体" w:cs="宋体"/>
                <w:sz w:val="18"/>
                <w:szCs w:val="18"/>
              </w:rPr>
              <w:t>　</w:t>
            </w:r>
          </w:p>
        </w:tc>
        <w:tc>
          <w:tcPr>
            <w:tcW w:w="2800" w:type="dxa"/>
            <w:gridSpan w:val="2"/>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135101 </w:t>
            </w:r>
            <w:r>
              <w:rPr>
                <w:rFonts w:hint="eastAsia" w:ascii="宋体" w:hAnsi="宋体" w:cs="宋体"/>
                <w:sz w:val="18"/>
                <w:szCs w:val="18"/>
              </w:rPr>
              <w:t>音乐</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28000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022" w:type="dxa"/>
            <w:gridSpan w:val="2"/>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800"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宋体"/>
                <w:sz w:val="18"/>
                <w:szCs w:val="18"/>
              </w:rPr>
            </w:pPr>
            <w:r>
              <w:rPr>
                <w:rFonts w:ascii="宋体" w:hAnsi="宋体" w:cs="宋体"/>
                <w:sz w:val="18"/>
                <w:szCs w:val="18"/>
              </w:rPr>
              <w:t xml:space="preserve">135106 </w:t>
            </w:r>
            <w:r>
              <w:rPr>
                <w:rFonts w:hint="eastAsia" w:ascii="宋体" w:hAnsi="宋体" w:cs="宋体"/>
                <w:sz w:val="18"/>
                <w:szCs w:val="18"/>
              </w:rPr>
              <w:t>舞蹈</w:t>
            </w:r>
            <w:r>
              <w:rPr>
                <w:rFonts w:ascii="宋体" w:hAnsi="宋体" w:cs="宋体"/>
                <w:sz w:val="18"/>
                <w:szCs w:val="18"/>
              </w:rPr>
              <w:t xml:space="preserve"> </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28000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right w:val="single" w:color="auto" w:sz="4" w:space="0"/>
            </w:tcBorders>
            <w:vAlign w:val="center"/>
          </w:tcPr>
          <w:p>
            <w:pPr>
              <w:ind w:firstLine="360" w:firstLineChars="200"/>
              <w:rPr>
                <w:rFonts w:ascii="宋体" w:cs="宋体"/>
                <w:sz w:val="18"/>
                <w:szCs w:val="18"/>
              </w:rPr>
            </w:pPr>
          </w:p>
        </w:tc>
        <w:tc>
          <w:tcPr>
            <w:tcW w:w="1701" w:type="dxa"/>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1022" w:type="dxa"/>
            <w:gridSpan w:val="2"/>
            <w:vMerge w:val="continue"/>
            <w:tcBorders>
              <w:left w:val="nil"/>
              <w:right w:val="single" w:color="auto" w:sz="4" w:space="0"/>
            </w:tcBorders>
            <w:shd w:val="clear" w:color="000000" w:fill="FFFFFF"/>
            <w:vAlign w:val="center"/>
          </w:tcPr>
          <w:p>
            <w:pPr>
              <w:ind w:firstLine="360" w:firstLineChars="200"/>
              <w:rPr>
                <w:rFonts w:ascii="宋体" w:cs="宋体"/>
                <w:sz w:val="18"/>
                <w:szCs w:val="18"/>
              </w:rPr>
            </w:pPr>
          </w:p>
        </w:tc>
        <w:tc>
          <w:tcPr>
            <w:tcW w:w="2800" w:type="dxa"/>
            <w:gridSpan w:val="2"/>
            <w:tcBorders>
              <w:top w:val="nil"/>
              <w:left w:val="nil"/>
              <w:bottom w:val="single" w:color="auto" w:sz="4" w:space="0"/>
              <w:right w:val="single" w:color="auto" w:sz="4" w:space="0"/>
            </w:tcBorders>
            <w:shd w:val="clear" w:color="000000" w:fill="FFFFFF"/>
            <w:vAlign w:val="center"/>
          </w:tcPr>
          <w:p>
            <w:pPr>
              <w:widowControl/>
              <w:rPr>
                <w:rFonts w:ascii="宋体" w:hAnsi="宋体" w:cs="宋体"/>
                <w:sz w:val="18"/>
                <w:szCs w:val="18"/>
              </w:rPr>
            </w:pPr>
            <w:r>
              <w:rPr>
                <w:rFonts w:ascii="宋体" w:hAnsi="宋体" w:cs="宋体"/>
                <w:sz w:val="18"/>
                <w:szCs w:val="18"/>
              </w:rPr>
              <w:t xml:space="preserve">135107 </w:t>
            </w:r>
            <w:r>
              <w:rPr>
                <w:rFonts w:hint="eastAsia" w:ascii="宋体" w:hAnsi="宋体" w:cs="宋体"/>
                <w:sz w:val="18"/>
                <w:szCs w:val="18"/>
              </w:rPr>
              <w:t>美术</w:t>
            </w:r>
            <w:r>
              <w:rPr>
                <w:rFonts w:ascii="宋体" w:hAnsi="宋体" w:cs="宋体"/>
                <w:sz w:val="18"/>
                <w:szCs w:val="18"/>
              </w:rPr>
              <w:t xml:space="preserve"> </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20000</w:t>
            </w:r>
          </w:p>
        </w:tc>
      </w:tr>
      <w:tr>
        <w:tblPrEx>
          <w:tblLayout w:type="fixed"/>
          <w:tblCellMar>
            <w:top w:w="0" w:type="dxa"/>
            <w:left w:w="108" w:type="dxa"/>
            <w:bottom w:w="0" w:type="dxa"/>
            <w:right w:w="108" w:type="dxa"/>
          </w:tblCellMar>
        </w:tblPrEx>
        <w:trPr>
          <w:trHeight w:val="284" w:hRule="atLeast"/>
        </w:trPr>
        <w:tc>
          <w:tcPr>
            <w:tcW w:w="1807" w:type="dxa"/>
            <w:gridSpan w:val="2"/>
            <w:vMerge w:val="continue"/>
            <w:tcBorders>
              <w:left w:val="single" w:color="auto" w:sz="4" w:space="0"/>
              <w:bottom w:val="single" w:color="auto" w:sz="4" w:space="0"/>
              <w:right w:val="single" w:color="auto" w:sz="4" w:space="0"/>
            </w:tcBorders>
            <w:vAlign w:val="center"/>
          </w:tcPr>
          <w:p>
            <w:pPr>
              <w:widowControl/>
              <w:ind w:firstLine="360" w:firstLineChars="200"/>
              <w:rPr>
                <w:rFonts w:ascii="宋体" w:cs="宋体"/>
                <w:sz w:val="18"/>
                <w:szCs w:val="18"/>
              </w:rPr>
            </w:pPr>
          </w:p>
        </w:tc>
        <w:tc>
          <w:tcPr>
            <w:tcW w:w="1701" w:type="dxa"/>
            <w:vMerge w:val="continue"/>
            <w:tcBorders>
              <w:left w:val="nil"/>
              <w:bottom w:val="single" w:color="auto" w:sz="4" w:space="0"/>
              <w:right w:val="single" w:color="auto" w:sz="4" w:space="0"/>
            </w:tcBorders>
            <w:shd w:val="clear" w:color="000000" w:fill="FFFFFF"/>
            <w:vAlign w:val="center"/>
          </w:tcPr>
          <w:p>
            <w:pPr>
              <w:widowControl/>
              <w:ind w:firstLine="360" w:firstLineChars="200"/>
              <w:rPr>
                <w:rFonts w:ascii="宋体" w:cs="宋体"/>
                <w:sz w:val="18"/>
                <w:szCs w:val="18"/>
              </w:rPr>
            </w:pPr>
          </w:p>
        </w:tc>
        <w:tc>
          <w:tcPr>
            <w:tcW w:w="1022" w:type="dxa"/>
            <w:gridSpan w:val="2"/>
            <w:vMerge w:val="continue"/>
            <w:tcBorders>
              <w:left w:val="nil"/>
              <w:bottom w:val="single" w:color="auto" w:sz="4" w:space="0"/>
              <w:right w:val="single" w:color="auto" w:sz="4" w:space="0"/>
            </w:tcBorders>
            <w:shd w:val="clear" w:color="000000" w:fill="FFFFFF"/>
            <w:vAlign w:val="center"/>
          </w:tcPr>
          <w:p>
            <w:pPr>
              <w:widowControl/>
              <w:ind w:firstLine="360" w:firstLineChars="200"/>
              <w:rPr>
                <w:rFonts w:ascii="宋体" w:cs="宋体"/>
                <w:sz w:val="18"/>
                <w:szCs w:val="18"/>
              </w:rPr>
            </w:pPr>
          </w:p>
        </w:tc>
        <w:tc>
          <w:tcPr>
            <w:tcW w:w="2800" w:type="dxa"/>
            <w:gridSpan w:val="2"/>
            <w:tcBorders>
              <w:top w:val="nil"/>
              <w:left w:val="nil"/>
              <w:bottom w:val="single" w:color="auto" w:sz="4" w:space="0"/>
              <w:right w:val="single" w:color="auto" w:sz="4" w:space="0"/>
            </w:tcBorders>
            <w:shd w:val="clear" w:color="000000" w:fill="FFFFFF"/>
            <w:vAlign w:val="center"/>
          </w:tcPr>
          <w:p>
            <w:pPr>
              <w:widowControl/>
              <w:rPr>
                <w:rFonts w:ascii="宋体" w:cs="宋体"/>
                <w:sz w:val="18"/>
                <w:szCs w:val="18"/>
              </w:rPr>
            </w:pPr>
            <w:r>
              <w:rPr>
                <w:rFonts w:ascii="宋体" w:hAnsi="宋体" w:cs="宋体"/>
                <w:sz w:val="18"/>
                <w:szCs w:val="18"/>
              </w:rPr>
              <w:t xml:space="preserve">135108 </w:t>
            </w:r>
            <w:r>
              <w:rPr>
                <w:rFonts w:hint="eastAsia" w:ascii="宋体" w:hAnsi="宋体" w:cs="宋体"/>
                <w:sz w:val="18"/>
                <w:szCs w:val="18"/>
              </w:rPr>
              <w:t>艺术设计</w:t>
            </w:r>
          </w:p>
        </w:tc>
        <w:tc>
          <w:tcPr>
            <w:tcW w:w="2273" w:type="dxa"/>
            <w:tcBorders>
              <w:top w:val="nil"/>
              <w:left w:val="nil"/>
              <w:bottom w:val="single" w:color="auto" w:sz="4" w:space="0"/>
              <w:right w:val="single" w:color="auto" w:sz="4" w:space="0"/>
            </w:tcBorders>
            <w:shd w:val="clear" w:color="000000" w:fill="FFFFFF"/>
            <w:vAlign w:val="center"/>
          </w:tcPr>
          <w:p>
            <w:pPr>
              <w:widowControl/>
              <w:ind w:firstLine="360" w:firstLineChars="200"/>
              <w:rPr>
                <w:rFonts w:ascii="宋体" w:hAnsi="宋体" w:cs="宋体"/>
                <w:sz w:val="18"/>
                <w:szCs w:val="18"/>
              </w:rPr>
            </w:pPr>
            <w:r>
              <w:rPr>
                <w:rFonts w:ascii="宋体" w:hAnsi="宋体" w:cs="宋体"/>
                <w:sz w:val="18"/>
                <w:szCs w:val="18"/>
              </w:rPr>
              <w:t>20000</w:t>
            </w:r>
          </w:p>
        </w:tc>
      </w:tr>
      <w:tr>
        <w:tblPrEx>
          <w:tblLayout w:type="fixed"/>
          <w:tblCellMar>
            <w:top w:w="0" w:type="dxa"/>
            <w:left w:w="108" w:type="dxa"/>
            <w:bottom w:w="0" w:type="dxa"/>
            <w:right w:w="108" w:type="dxa"/>
          </w:tblCellMar>
        </w:tblPrEx>
        <w:trPr>
          <w:trHeight w:val="284" w:hRule="atLeast"/>
        </w:trPr>
        <w:tc>
          <w:tcPr>
            <w:tcW w:w="7330" w:type="dxa"/>
            <w:gridSpan w:val="7"/>
            <w:tcBorders>
              <w:top w:val="single" w:color="auto" w:sz="4" w:space="0"/>
              <w:left w:val="single" w:color="auto" w:sz="4" w:space="0"/>
              <w:bottom w:val="single" w:color="auto" w:sz="4" w:space="0"/>
              <w:right w:val="single" w:color="000000" w:sz="4" w:space="0"/>
            </w:tcBorders>
            <w:vAlign w:val="bottom"/>
          </w:tcPr>
          <w:p>
            <w:pPr>
              <w:widowControl/>
              <w:ind w:firstLine="360" w:firstLineChars="200"/>
              <w:rPr>
                <w:rFonts w:ascii="宋体" w:hAnsi="宋体" w:cs="宋体"/>
                <w:sz w:val="18"/>
                <w:szCs w:val="18"/>
              </w:rPr>
            </w:pPr>
            <w:r>
              <w:rPr>
                <w:rFonts w:hint="eastAsia" w:ascii="宋体" w:hAnsi="宋体" w:cs="宋体"/>
                <w:sz w:val="18"/>
                <w:szCs w:val="18"/>
              </w:rPr>
              <w:t>五、高级管理人员工商管理硕士（</w:t>
            </w:r>
            <w:r>
              <w:rPr>
                <w:rFonts w:ascii="宋体" w:hAnsi="宋体" w:cs="宋体"/>
                <w:sz w:val="18"/>
                <w:szCs w:val="18"/>
              </w:rPr>
              <w:t>EMBA)</w:t>
            </w:r>
          </w:p>
        </w:tc>
        <w:tc>
          <w:tcPr>
            <w:tcW w:w="2273" w:type="dxa"/>
            <w:tcBorders>
              <w:top w:val="nil"/>
              <w:left w:val="nil"/>
              <w:bottom w:val="single" w:color="auto" w:sz="4" w:space="0"/>
              <w:right w:val="single" w:color="auto" w:sz="4" w:space="0"/>
            </w:tcBorders>
            <w:vAlign w:val="bottom"/>
          </w:tcPr>
          <w:p>
            <w:pPr>
              <w:widowControl/>
              <w:rPr>
                <w:rFonts w:ascii="宋体" w:cs="宋体"/>
                <w:sz w:val="18"/>
                <w:szCs w:val="18"/>
              </w:rPr>
            </w:pPr>
            <w:r>
              <w:rPr>
                <w:rFonts w:hint="eastAsia" w:ascii="宋体" w:hAnsi="宋体" w:cs="宋体"/>
                <w:sz w:val="18"/>
                <w:szCs w:val="18"/>
              </w:rPr>
              <w:t>不超过</w:t>
            </w:r>
            <w:r>
              <w:rPr>
                <w:rFonts w:ascii="宋体" w:hAnsi="宋体" w:cs="宋体"/>
                <w:sz w:val="18"/>
                <w:szCs w:val="18"/>
              </w:rPr>
              <w:t>20</w:t>
            </w:r>
            <w:r>
              <w:rPr>
                <w:rFonts w:hint="eastAsia" w:ascii="宋体" w:hAnsi="宋体" w:cs="宋体"/>
                <w:sz w:val="18"/>
                <w:szCs w:val="18"/>
              </w:rPr>
              <w:t>万（</w:t>
            </w:r>
            <w:r>
              <w:rPr>
                <w:rFonts w:ascii="宋体" w:hAnsi="宋体" w:cs="宋体"/>
                <w:sz w:val="18"/>
                <w:szCs w:val="18"/>
              </w:rPr>
              <w:t>3</w:t>
            </w:r>
            <w:r>
              <w:rPr>
                <w:rFonts w:hint="eastAsia" w:ascii="宋体" w:hAnsi="宋体" w:cs="宋体"/>
                <w:sz w:val="18"/>
                <w:szCs w:val="18"/>
              </w:rPr>
              <w:t>年共</w:t>
            </w:r>
            <w:r>
              <w:rPr>
                <w:rFonts w:ascii="宋体" w:hAnsi="宋体" w:cs="宋体"/>
                <w:sz w:val="18"/>
                <w:szCs w:val="18"/>
              </w:rPr>
              <w:t>26</w:t>
            </w:r>
            <w:r>
              <w:rPr>
                <w:rFonts w:hint="eastAsia" w:ascii="宋体" w:hAnsi="宋体" w:cs="宋体"/>
                <w:sz w:val="18"/>
                <w:szCs w:val="18"/>
              </w:rPr>
              <w:t>万）</w:t>
            </w:r>
          </w:p>
        </w:tc>
      </w:tr>
      <w:tr>
        <w:tblPrEx>
          <w:tblLayout w:type="fixed"/>
          <w:tblCellMar>
            <w:top w:w="0" w:type="dxa"/>
            <w:left w:w="108" w:type="dxa"/>
            <w:bottom w:w="0" w:type="dxa"/>
            <w:right w:w="108" w:type="dxa"/>
          </w:tblCellMar>
        </w:tblPrEx>
        <w:trPr>
          <w:trHeight w:val="284" w:hRule="atLeast"/>
        </w:trPr>
        <w:tc>
          <w:tcPr>
            <w:tcW w:w="7330" w:type="dxa"/>
            <w:gridSpan w:val="7"/>
            <w:tcBorders>
              <w:top w:val="single" w:color="auto" w:sz="4" w:space="0"/>
              <w:left w:val="single" w:color="auto" w:sz="4" w:space="0"/>
              <w:bottom w:val="single" w:color="auto" w:sz="4" w:space="0"/>
              <w:right w:val="single" w:color="000000" w:sz="4" w:space="0"/>
            </w:tcBorders>
            <w:noWrap/>
            <w:vAlign w:val="bottom"/>
          </w:tcPr>
          <w:p>
            <w:pPr>
              <w:widowControl/>
              <w:ind w:firstLine="360" w:firstLineChars="200"/>
              <w:rPr>
                <w:rFonts w:ascii="宋体" w:cs="宋体"/>
                <w:sz w:val="18"/>
                <w:szCs w:val="18"/>
              </w:rPr>
            </w:pPr>
            <w:r>
              <w:rPr>
                <w:rFonts w:hint="eastAsia" w:ascii="宋体" w:hAnsi="宋体" w:cs="宋体"/>
                <w:sz w:val="18"/>
                <w:szCs w:val="18"/>
              </w:rPr>
              <w:t>六、护理学硕士（与美国加州大学旧金山分校联合举办）</w:t>
            </w:r>
          </w:p>
        </w:tc>
        <w:tc>
          <w:tcPr>
            <w:tcW w:w="2273" w:type="dxa"/>
            <w:tcBorders>
              <w:top w:val="nil"/>
              <w:left w:val="nil"/>
              <w:bottom w:val="single" w:color="auto" w:sz="4" w:space="0"/>
              <w:right w:val="single" w:color="auto" w:sz="4" w:space="0"/>
            </w:tcBorders>
            <w:vAlign w:val="bottom"/>
          </w:tcPr>
          <w:p>
            <w:pPr>
              <w:widowControl/>
              <w:ind w:firstLine="360" w:firstLineChars="200"/>
              <w:rPr>
                <w:rFonts w:ascii="宋体" w:hAnsi="宋体" w:cs="宋体"/>
                <w:sz w:val="18"/>
                <w:szCs w:val="18"/>
              </w:rPr>
            </w:pPr>
            <w:r>
              <w:rPr>
                <w:rFonts w:ascii="宋体" w:hAnsi="宋体" w:cs="宋体"/>
                <w:sz w:val="18"/>
                <w:szCs w:val="18"/>
              </w:rPr>
              <w:t>49000</w:t>
            </w:r>
          </w:p>
        </w:tc>
      </w:tr>
    </w:tbl>
    <w:p>
      <w:pPr>
        <w:rPr>
          <w:rFonts w:ascii="仿宋_GB2312" w:hAnsi="宋体" w:eastAsia="仿宋_GB2312" w:cs="宋体"/>
        </w:rPr>
      </w:pPr>
      <w:r>
        <w:rPr>
          <w:rFonts w:hint="eastAsia" w:ascii="仿宋_GB2312" w:hAnsi="宋体" w:eastAsia="仿宋_GB2312" w:cs="宋体"/>
        </w:rPr>
        <w:t>备注：</w:t>
      </w:r>
      <w:r>
        <w:rPr>
          <w:rFonts w:ascii="仿宋_GB2312" w:hAnsi="宋体" w:eastAsia="仿宋_GB2312" w:cs="宋体"/>
        </w:rPr>
        <w:t>1.</w:t>
      </w:r>
      <w:r>
        <w:rPr>
          <w:rFonts w:hint="eastAsia" w:ascii="仿宋_GB2312" w:hAnsi="宋体" w:eastAsia="仿宋_GB2312" w:cs="宋体"/>
        </w:rPr>
        <w:t>依据湖南省《关于加强我省研究生收费管理的通知》（湘发改价费</w:t>
      </w:r>
      <w:r>
        <w:rPr>
          <w:rFonts w:ascii="仿宋_GB2312" w:hAnsi="宋体" w:eastAsia="仿宋_GB2312" w:cs="宋体"/>
        </w:rPr>
        <w:t>[2018]99</w:t>
      </w:r>
      <w:r>
        <w:rPr>
          <w:rFonts w:hint="eastAsia" w:ascii="仿宋_GB2312" w:hAnsi="宋体" w:eastAsia="仿宋_GB2312" w:cs="宋体"/>
        </w:rPr>
        <w:t>号）规定的标准收取。</w:t>
      </w:r>
    </w:p>
    <w:p>
      <w:pPr>
        <w:ind w:left="561" w:leftChars="267"/>
        <w:rPr>
          <w:rFonts w:ascii="宋体" w:cs="宋体"/>
          <w:sz w:val="24"/>
        </w:rPr>
      </w:pPr>
      <w:r>
        <w:rPr>
          <w:rFonts w:ascii="仿宋_GB2312" w:hAnsi="宋体" w:eastAsia="仿宋_GB2312" w:cs="宋体"/>
        </w:rPr>
        <w:t>2.</w:t>
      </w:r>
      <w:r>
        <w:rPr>
          <w:rFonts w:hint="eastAsia" w:ascii="仿宋_GB2312" w:hAnsi="宋体" w:eastAsia="仿宋_GB2312" w:cs="宋体"/>
        </w:rPr>
        <w:t>高级工商管理硕士（</w:t>
      </w:r>
      <w:r>
        <w:rPr>
          <w:rFonts w:ascii="仿宋_GB2312" w:hAnsi="宋体" w:eastAsia="仿宋_GB2312" w:cs="宋体"/>
        </w:rPr>
        <w:t>EMBA)</w:t>
      </w:r>
      <w:r>
        <w:rPr>
          <w:rFonts w:hint="eastAsia" w:ascii="仿宋_GB2312" w:hAnsi="宋体" w:eastAsia="仿宋_GB2312" w:cs="宋体"/>
        </w:rPr>
        <w:t>：按湖南省《关于中南大学、湖南大学高级工商管理硕士（</w:t>
      </w:r>
      <w:r>
        <w:rPr>
          <w:rFonts w:ascii="仿宋_GB2312" w:hAnsi="宋体" w:eastAsia="仿宋_GB2312" w:cs="宋体"/>
        </w:rPr>
        <w:t>EMBA)</w:t>
      </w:r>
      <w:r>
        <w:rPr>
          <w:rFonts w:hint="eastAsia" w:ascii="仿宋_GB2312" w:hAnsi="宋体" w:eastAsia="仿宋_GB2312" w:cs="宋体"/>
        </w:rPr>
        <w:t>收费标准的批复）（湘价函【</w:t>
      </w:r>
      <w:r>
        <w:rPr>
          <w:rFonts w:ascii="仿宋_GB2312" w:hAnsi="宋体" w:eastAsia="仿宋_GB2312" w:cs="宋体"/>
        </w:rPr>
        <w:t>2013</w:t>
      </w:r>
      <w:r>
        <w:rPr>
          <w:rFonts w:hint="eastAsia" w:ascii="仿宋_GB2312" w:hAnsi="宋体" w:eastAsia="仿宋_GB2312" w:cs="宋体"/>
        </w:rPr>
        <w:t>】</w:t>
      </w:r>
      <w:r>
        <w:rPr>
          <w:rFonts w:ascii="仿宋_GB2312" w:hAnsi="宋体" w:eastAsia="仿宋_GB2312" w:cs="宋体"/>
        </w:rPr>
        <w:t>79</w:t>
      </w:r>
      <w:r>
        <w:rPr>
          <w:rFonts w:hint="eastAsia" w:ascii="仿宋_GB2312" w:hAnsi="宋体" w:eastAsia="仿宋_GB2312" w:cs="宋体"/>
        </w:rPr>
        <w:t>号）规定的标准收取。</w:t>
      </w:r>
    </w:p>
    <w:p>
      <w:pPr>
        <w:widowControl/>
        <w:spacing w:line="500" w:lineRule="exact"/>
        <w:ind w:firstLine="420"/>
        <w:rPr>
          <w:rFonts w:ascii="仿宋_GB2312" w:hAnsi="宋体" w:eastAsia="仿宋_GB2312" w:cs="Arial"/>
          <w:kern w:val="0"/>
          <w:sz w:val="24"/>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134" w:right="851"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14</w:t>
    </w:r>
    <w:r>
      <w:rPr>
        <w:lang w:val="zh-CN"/>
      </w:rPr>
      <w:fldChar w:fldCharType="end"/>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BC33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2019-03-18T07:24:21Z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