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关于做好2019年优秀应届本科毕业生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免试攻读硕士学位研究生推荐工作的通知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各二级单位：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根据《教育部办公厅关于进一步完善推荐优秀应届本科毕业生免试攻读研究生工作的通知》（教学厅〔2014〕5号）精神，将推荐、接收工作在时间上分为互不交叉的两个阶段，推免生不设定校内、校外指标，以及学术学位和专业学位类型。学校推荐工作统一于每年的9月25日前结束（由本科生院负责）；接收录取工作统一于每年的10月25日前结束(由报考学校负责)。根据《教育部办公厅关于做好2019年推荐优秀应届本科毕业生免试攻读研究生工作的通知》（教学厅〔2018〕10号）（见附件1）、《中南大学推荐优秀应届本科毕业生免试攻读硕士学位研究生管理办法》、《关于进一步做好大学生应征入伍工作的意见》（中大党学字[2017]4号）及相关文件要求，为切实做好2019年优秀应届本科毕业生免试攻读硕士学位研究生（简称推免生）的推荐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一、组织领导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学校成立2019年推免生遴选工作领导小组（简称领导小组），负责学校推免生遴选工作的领导和组织协调，其成员如下：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组  长：陈  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副组长：朱学红  蒋建湘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1832" w:right="0" w:hanging="12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组  员：陈立章  李  劼  廖济忠  余文武  胡  杨  范晓慧  杨  芳   刘铁雄  刘民忠  姚  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秘  书：董  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领导小组下设办公室，挂靠本科生院，负责具体推荐组织工作。各院系及相关职能部门成立推免生遴选工作小组，负责二级单位具体推免工作。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推免工作坚持落实集体议事和集体决策制度。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二、名额分配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我校2019年推免生指标数为1375个，分为专项指标和面上指标，推荐阶段只确定获得推免生资格名单。另研究生支教团有13个招募指标，专项下达，专项使用；北京师范大学补偿指标1个，国防科技大学补偿指标7个，中国工程物理研究院补偿指标1个，补偿指标根据对方学校来函要求，由学校专项对口下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5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具体名额分配方案如下：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（1）专项指标：各类学科竞赛及“挑战杯”专项共216名。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面上指标：共1159名，含“双一流”建设学科支持指标、国防生、退役士兵专项、艺术体育和社会工作类、2014级建筑学工程试验班、生命科学与技术试点班等类别指标与面上专业分配指标，具体指标分配见表1、表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tbl>
      <w:tblPr>
        <w:tblW w:w="9174" w:type="dxa"/>
        <w:jc w:val="center"/>
        <w:tblInd w:w="-326" w:type="dxa"/>
        <w:shd w:val="clear"/>
        <w:tblLayout w:type="fixed"/>
        <w:tblCellMar>
          <w:top w:w="15" w:type="dxa"/>
          <w:left w:w="15" w:type="dxa"/>
          <w:bottom w:w="15" w:type="dxa"/>
          <w:right w:w="15" w:type="dxa"/>
        </w:tblCellMar>
      </w:tblPr>
      <w:tblGrid>
        <w:gridCol w:w="781"/>
        <w:gridCol w:w="4133"/>
        <w:gridCol w:w="1310"/>
        <w:gridCol w:w="2950"/>
      </w:tblGrid>
      <w:tr>
        <w:tblPrEx>
          <w:shd w:val="clear"/>
          <w:tblLayout w:type="fixed"/>
          <w:tblCellMar>
            <w:top w:w="15" w:type="dxa"/>
            <w:left w:w="15" w:type="dxa"/>
            <w:bottom w:w="15" w:type="dxa"/>
            <w:right w:w="15" w:type="dxa"/>
          </w:tblCellMar>
        </w:tblPrEx>
        <w:trPr>
          <w:trHeight w:val="688" w:hRule="atLeast"/>
          <w:jc w:val="center"/>
        </w:trPr>
        <w:tc>
          <w:tcPr>
            <w:tcW w:w="9174" w:type="dxa"/>
            <w:gridSpan w:val="4"/>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表1：  面上各类别指标分配表</w:t>
            </w:r>
          </w:p>
        </w:tc>
      </w:tr>
      <w:tr>
        <w:tblPrEx>
          <w:tblLayout w:type="fixed"/>
          <w:tblCellMar>
            <w:top w:w="15" w:type="dxa"/>
            <w:left w:w="15" w:type="dxa"/>
            <w:bottom w:w="15" w:type="dxa"/>
            <w:right w:w="15" w:type="dxa"/>
          </w:tblCellMar>
        </w:tblPrEx>
        <w:trPr>
          <w:trHeight w:val="84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序号</w:t>
            </w:r>
          </w:p>
        </w:tc>
        <w:tc>
          <w:tcPr>
            <w:tcW w:w="41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专业</w:t>
            </w:r>
          </w:p>
        </w:tc>
        <w:tc>
          <w:tcPr>
            <w:tcW w:w="13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指标数</w:t>
            </w:r>
          </w:p>
        </w:tc>
        <w:tc>
          <w:tcPr>
            <w:tcW w:w="29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备注</w:t>
            </w:r>
          </w:p>
        </w:tc>
      </w:tr>
      <w:tr>
        <w:tblPrEx>
          <w:tblLayout w:type="fixed"/>
          <w:tblCellMar>
            <w:top w:w="15" w:type="dxa"/>
            <w:left w:w="15" w:type="dxa"/>
            <w:bottom w:w="15" w:type="dxa"/>
            <w:right w:w="15" w:type="dxa"/>
          </w:tblCellMar>
        </w:tblPrEx>
        <w:trPr>
          <w:trHeight w:val="666"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1</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“双一流”建设学科支持指标</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82</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指标下到相关学院</w:t>
            </w:r>
          </w:p>
        </w:tc>
      </w:tr>
      <w:tr>
        <w:tblPrEx>
          <w:tblLayout w:type="fixed"/>
          <w:tblCellMar>
            <w:top w:w="15" w:type="dxa"/>
            <w:left w:w="15" w:type="dxa"/>
            <w:bottom w:w="15" w:type="dxa"/>
            <w:right w:w="15" w:type="dxa"/>
          </w:tblCellMar>
        </w:tblPrEx>
        <w:trPr>
          <w:trHeight w:val="60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2</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国防生</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18</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24"/>
                <w:szCs w:val="24"/>
                <w:lang w:val="en-US" w:eastAsia="zh-CN" w:bidi="ar"/>
              </w:rPr>
              <w:t> </w:t>
            </w:r>
          </w:p>
        </w:tc>
      </w:tr>
      <w:tr>
        <w:tblPrEx>
          <w:tblLayout w:type="fixed"/>
          <w:tblCellMar>
            <w:top w:w="15" w:type="dxa"/>
            <w:left w:w="15" w:type="dxa"/>
            <w:bottom w:w="15" w:type="dxa"/>
            <w:right w:w="15" w:type="dxa"/>
          </w:tblCellMar>
        </w:tblPrEx>
        <w:trPr>
          <w:trHeight w:val="60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3</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退役士兵专项</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7</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　</w:t>
            </w:r>
          </w:p>
        </w:tc>
      </w:tr>
      <w:tr>
        <w:tblPrEx>
          <w:tblLayout w:type="fixed"/>
          <w:tblCellMar>
            <w:top w:w="15" w:type="dxa"/>
            <w:left w:w="15" w:type="dxa"/>
            <w:bottom w:w="15" w:type="dxa"/>
            <w:right w:w="15" w:type="dxa"/>
          </w:tblCellMar>
        </w:tblPrEx>
        <w:trPr>
          <w:trHeight w:val="60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4</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艺术体育和社会工作类</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39</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　</w:t>
            </w:r>
          </w:p>
        </w:tc>
      </w:tr>
      <w:tr>
        <w:tblPrEx>
          <w:tblLayout w:type="fixed"/>
          <w:tblCellMar>
            <w:top w:w="15" w:type="dxa"/>
            <w:left w:w="15" w:type="dxa"/>
            <w:bottom w:w="15" w:type="dxa"/>
            <w:right w:w="15" w:type="dxa"/>
          </w:tblCellMar>
        </w:tblPrEx>
        <w:trPr>
          <w:trHeight w:val="60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5</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2014级建筑学工程试验班</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7</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　</w:t>
            </w:r>
          </w:p>
        </w:tc>
      </w:tr>
      <w:tr>
        <w:tblPrEx>
          <w:tblLayout w:type="fixed"/>
          <w:tblCellMar>
            <w:top w:w="15" w:type="dxa"/>
            <w:left w:w="15" w:type="dxa"/>
            <w:bottom w:w="15" w:type="dxa"/>
            <w:right w:w="15" w:type="dxa"/>
          </w:tblCellMar>
        </w:tblPrEx>
        <w:trPr>
          <w:trHeight w:val="600" w:hRule="atLeast"/>
          <w:jc w:val="center"/>
        </w:trPr>
        <w:tc>
          <w:tcPr>
            <w:tcW w:w="78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6</w:t>
            </w:r>
          </w:p>
        </w:tc>
        <w:tc>
          <w:tcPr>
            <w:tcW w:w="41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生命科学与技术试点班</w:t>
            </w:r>
          </w:p>
        </w:tc>
        <w:tc>
          <w:tcPr>
            <w:tcW w:w="13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3</w:t>
            </w:r>
          </w:p>
        </w:tc>
        <w:tc>
          <w:tcPr>
            <w:tcW w:w="29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24"/>
                <w:szCs w:val="24"/>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       表2：  面上专业指标分配表</w:t>
      </w:r>
    </w:p>
    <w:tbl>
      <w:tblPr>
        <w:tblW w:w="9174" w:type="dxa"/>
        <w:jc w:val="center"/>
        <w:tblInd w:w="-326" w:type="dxa"/>
        <w:shd w:val="clear"/>
        <w:tblLayout w:type="fixed"/>
        <w:tblCellMar>
          <w:top w:w="15" w:type="dxa"/>
          <w:left w:w="15" w:type="dxa"/>
          <w:bottom w:w="15" w:type="dxa"/>
          <w:right w:w="15" w:type="dxa"/>
        </w:tblCellMar>
      </w:tblPr>
      <w:tblGrid>
        <w:gridCol w:w="3666"/>
        <w:gridCol w:w="4335"/>
        <w:gridCol w:w="1173"/>
      </w:tblGrid>
      <w:tr>
        <w:tblPrEx>
          <w:shd w:val="clear"/>
          <w:tblLayout w:type="fixed"/>
          <w:tblCellMar>
            <w:top w:w="15" w:type="dxa"/>
            <w:left w:w="15" w:type="dxa"/>
            <w:bottom w:w="15" w:type="dxa"/>
            <w:right w:w="15" w:type="dxa"/>
          </w:tblCellMar>
        </w:tblPrEx>
        <w:trPr>
          <w:trHeight w:val="560" w:hRule="atLeast"/>
          <w:jc w:val="center"/>
        </w:trPr>
        <w:tc>
          <w:tcPr>
            <w:tcW w:w="3666"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学院</w:t>
            </w:r>
          </w:p>
        </w:tc>
        <w:tc>
          <w:tcPr>
            <w:tcW w:w="433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专业</w:t>
            </w:r>
          </w:p>
        </w:tc>
        <w:tc>
          <w:tcPr>
            <w:tcW w:w="117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指标数</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地球科学与信息物理学院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测绘工程(T)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9</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地理信息科学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地球信息科学与技术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地质工程(T)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遥感科学与技术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资源勘查工程(T)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资源与安全工程学院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安全工程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采矿工程(T)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城市地下空间工程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资源加工与生物工程学院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矿物加工工程(T)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15</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生物技术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无机非金属材料工程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冶金与环境学院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环境工程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新能源材料与器件</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冶金工程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冶金工程(T)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材料科学与工程学院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材料合作国内班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材料合作国外班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材料科学与工程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材料科学与工程(T)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粉末冶金研究院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材料化学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粉体材料科学与工程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粉体材料科学与工程(T)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高分子材料与工程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机电工程学院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车辆工程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机电合作国内班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机电合作国外班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机械设计制造及其自动化</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机械设计制造及其自动化(T)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机械设计制造及其自动化(材料与制造工程）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微电子科学与工程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5</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信息科学与工程学院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测控技术与仪器</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9</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电气工程及其自动化</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电气工程及其自动化(T)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电子信息工程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计算机科学与技术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计算机科学与技术（T）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计算机科学与技术（大数据方向）</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通信工程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物联网工程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信息安全</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智能科学与技术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自动化</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26</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能源科学与工程学院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建筑环境与能源应用工程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能源与动力工程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能源与动力工程(T)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新能源科学与工程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交通运输工程学院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交通合作国内班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交通合作国外班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交通设备与控制工程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交通设备与控制工程(T)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交通运输</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交通运输(T)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物流工程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土木工程学院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工程管理</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9</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工程力学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铁道工程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土木工程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土木工程(T)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土木合作国内班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土木合作国外班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消防工程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5</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数学与统计学院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数学与应用数学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数学与应用数学（T）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统计学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信息与计算科学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物理与电子学院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电子信息科学与技术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光电信息科学与工程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应用物理学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应用物理学（T）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化学化工学院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化学工程与工艺</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化学工程与工艺(T)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化学合作国内班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0</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化学合作国外班</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应用化学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22</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制药工程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5</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商学院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财务管理</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电子商务</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工商管理</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国际经济与贸易</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会计学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9</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金融学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市场营销</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信息管理与信息系统</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文学与新闻传播学院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广播电视学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汉语言文学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数字出版</w:t>
            </w:r>
          </w:p>
        </w:tc>
        <w:tc>
          <w:tcPr>
            <w:tcW w:w="1173"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外国语学院</w:t>
            </w:r>
          </w:p>
        </w:tc>
        <w:tc>
          <w:tcPr>
            <w:tcW w:w="4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法语</w:t>
            </w:r>
          </w:p>
        </w:tc>
        <w:tc>
          <w:tcPr>
            <w:tcW w:w="11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西班牙语</w:t>
            </w:r>
          </w:p>
        </w:tc>
        <w:tc>
          <w:tcPr>
            <w:tcW w:w="11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英语</w:t>
            </w:r>
          </w:p>
        </w:tc>
        <w:tc>
          <w:tcPr>
            <w:tcW w:w="11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19</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建筑与艺术学院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产品设计</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城乡规划</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环境设计</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建筑学</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视觉传达设计</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舞蹈表演</w:t>
            </w:r>
          </w:p>
        </w:tc>
        <w:tc>
          <w:tcPr>
            <w:tcW w:w="1173"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auto"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音乐表演</w:t>
            </w:r>
          </w:p>
        </w:tc>
        <w:tc>
          <w:tcPr>
            <w:tcW w:w="117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法学院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法学(T)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20</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马克思主义学院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思想政治教育</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软件学院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软件工程(T)</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24</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公共管理学院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行政管理</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劳动与社会保障</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社会学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航空航天学院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航空航天工程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探测制导与控制技术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湘雅医学院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精神医学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临床医学(五年制)</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36</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麻醉学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8</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医学检验技术</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10</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药学院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药学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湘雅护理学院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护理学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16</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公共卫生学院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预防医学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11</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口腔医学院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口腔医学(五年制)</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9</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生命科学学院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生物科学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7</w:t>
            </w:r>
          </w:p>
        </w:tc>
      </w:tr>
      <w:tr>
        <w:tblPrEx>
          <w:tblLayout w:type="fixed"/>
          <w:tblCellMar>
            <w:top w:w="15" w:type="dxa"/>
            <w:left w:w="15" w:type="dxa"/>
            <w:bottom w:w="15" w:type="dxa"/>
            <w:right w:w="15" w:type="dxa"/>
          </w:tblCellMar>
        </w:tblPrEx>
        <w:trPr>
          <w:trHeight w:val="420" w:hRule="atLeast"/>
          <w:jc w:val="center"/>
        </w:trPr>
        <w:tc>
          <w:tcPr>
            <w:tcW w:w="3666"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基础医学院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法医学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r>
        <w:tblPrEx>
          <w:tblLayout w:type="fixed"/>
          <w:tblCellMar>
            <w:top w:w="15" w:type="dxa"/>
            <w:left w:w="15" w:type="dxa"/>
            <w:bottom w:w="15" w:type="dxa"/>
            <w:right w:w="15" w:type="dxa"/>
          </w:tblCellMar>
        </w:tblPrEx>
        <w:trPr>
          <w:trHeight w:val="420" w:hRule="atLeast"/>
          <w:jc w:val="center"/>
        </w:trPr>
        <w:tc>
          <w:tcPr>
            <w:tcW w:w="3666"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sz w:val="24"/>
                <w:szCs w:val="24"/>
              </w:rPr>
            </w:pP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生物医学工程</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信息安全与大数据研究院</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生物信息学</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2</w:t>
            </w:r>
          </w:p>
        </w:tc>
      </w:tr>
      <w:tr>
        <w:tblPrEx>
          <w:tblLayout w:type="fixed"/>
          <w:tblCellMar>
            <w:top w:w="15" w:type="dxa"/>
            <w:left w:w="15" w:type="dxa"/>
            <w:bottom w:w="15" w:type="dxa"/>
            <w:right w:w="15" w:type="dxa"/>
          </w:tblCellMar>
        </w:tblPrEx>
        <w:trPr>
          <w:trHeight w:val="420" w:hRule="atLeast"/>
          <w:jc w:val="center"/>
        </w:trPr>
        <w:tc>
          <w:tcPr>
            <w:tcW w:w="3666"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体育教研部</w:t>
            </w:r>
          </w:p>
        </w:tc>
        <w:tc>
          <w:tcPr>
            <w:tcW w:w="433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ascii="宋体" w:hAnsi="宋体" w:eastAsia="宋体" w:cs="宋体"/>
                <w:b/>
                <w:kern w:val="0"/>
                <w:sz w:val="30"/>
                <w:szCs w:val="30"/>
                <w:lang w:val="en-US" w:eastAsia="zh-CN" w:bidi="ar"/>
              </w:rPr>
              <w:t>运动训练</w:t>
            </w:r>
          </w:p>
        </w:tc>
        <w:tc>
          <w:tcPr>
            <w:tcW w:w="117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宋体" w:hAnsi="宋体" w:eastAsia="宋体" w:cs="宋体"/>
                <w:b/>
                <w:kern w:val="0"/>
                <w:sz w:val="30"/>
                <w:szCs w:val="30"/>
                <w:lang w:val="en-US" w:eastAsia="zh-CN" w:bidi="ar"/>
              </w:rPr>
              <w:t>4</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注：1. 推免生的成绩根据在校学习期间文化课（含全校性选修课）加权平均裸分（不含各类政策性加分）成绩按专业进行排名，补考和重修合格的课程成绩按60分计算。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 推免生必须完成专业培养方案前3年(五年制为前4年)所有教学环节并取得合格成绩，有不及格课程者不得推荐（2019年推免生全校性选修课已达到8个学分且及格的，不影响其推免资格）。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 国防生、艺术体育推免生的排名按所在类别排名。其他推免学生的排名以学校教务系统公布的专业排名为准。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4. 将教务管理系统里的成绩、专业排序等信息填入附件3、4。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三、工作要求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 各二级单位要坚持德智体美全面衡量，以德为先，把学生思想品德考核作为推免生遴选的重要内容，对思想品德考核不合格者不予推荐。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 各二级单位在进行推免生遴选时既要注重学生学习成绩、一贯表现，也要加强对考生科研创新潜质和专业素质能力的考核。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 各二级单位要切实加强对推免生特殊学术专长的审核。经学校推免领导小组研究决定，对学科竞赛获奖奖项由本科生院创新创业办审核公示；“挑战杯”获奖奖项由校团委审核公示。通过科研创新成果、论文（文章）加分的学生，由各二级单位成立专家审核小组（专家组成员应具有相关学科副教授以上职称，一般不少于5人）对申请推免资格的学生进行审核鉴定（论文需要查重），排除抄袭、造假、冒名及有名无实等情况，并组织相关学生在学校一定范围进行公开答辩，专家审核小组及每位成员都要给出明确审核鉴定意见并签字存档。答辩全程要录音录像，答辩结果要公开公示，未通过审核鉴定或答辩的学生不得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四、时间安排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9月10日下午3点前，各二级单位应成立推免生遴选工作小组，完善全面考查、综合评价、择优选拔、公平公正的工作机制，制定本单位的实施细则（包括本单位领导小组、工作组、推荐细则、推荐名额等），并将实施细则在本单位公示，纸质文档与电子文档按时报本科生院（一办317，联系电话：88836971，E-mail：</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begin"/>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instrText xml:space="preserve"> HYPERLINK "mailto:488468280@qq.com" </w:instrTex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separate"/>
      </w:r>
      <w:r>
        <w:rPr>
          <w:rStyle w:val="3"/>
          <w:rFonts w:hint="eastAsia" w:ascii="微软雅黑" w:hAnsi="微软雅黑" w:eastAsia="微软雅黑" w:cs="微软雅黑"/>
          <w:b/>
          <w:i w:val="0"/>
          <w:caps w:val="0"/>
          <w:color w:val="0000FF"/>
          <w:spacing w:val="0"/>
          <w:sz w:val="30"/>
          <w:szCs w:val="30"/>
          <w:u w:val="single"/>
          <w:bdr w:val="none" w:color="auto" w:sz="0" w:space="0"/>
          <w:shd w:val="clear" w:fill="FFFFFF"/>
        </w:rPr>
        <w:t>488468280@qq.com），此材料由本科生院上报“全国推荐优秀应届本科毕业生免试攻读研究生信息公开暨管理服务系统”注册。各二级单位要认真宣传、组织，切实做好2019年推免生的选拔推荐工作。</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2．9月10日－12日，各二级单位在学生自愿报名并交附件3及相关材料基础上，根据推荐条件受理申请，择优遴选，确定推免生候选人名单，并在本单位张榜公示10天。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 支教团、艺术体育和社会工作类推免生的选拔推荐工作，由团委、学生工作部、武装部、体育教研部等相关单位成立推免生遴选工作小组（应包含至少一名本科生院的干部）组织实施，确定后将名单报送到本科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4. 各单位在本单位网上公示推免生名单的同时，将电子稿发给本科生院（</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begin"/>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instrText xml:space="preserve"> HYPERLINK "mailto:488468280@qq.com" </w:instrTex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separate"/>
      </w:r>
      <w:r>
        <w:rPr>
          <w:rStyle w:val="3"/>
          <w:rFonts w:hint="eastAsia" w:ascii="微软雅黑" w:hAnsi="微软雅黑" w:eastAsia="微软雅黑" w:cs="微软雅黑"/>
          <w:b/>
          <w:i w:val="0"/>
          <w:caps w:val="0"/>
          <w:color w:val="0000FF"/>
          <w:spacing w:val="0"/>
          <w:sz w:val="30"/>
          <w:szCs w:val="30"/>
          <w:u w:val="single"/>
          <w:bdr w:val="none" w:color="auto" w:sz="0" w:space="0"/>
          <w:shd w:val="clear" w:fill="FFFFFF"/>
        </w:rPr>
        <w:t>488468280@qq.com邮件主题标注***学院推免公示名单）。</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请各单位9月13日上午11:00之前将附件3、4纸质文档及附件4的电子文档报本科生院(</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begin"/>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instrText xml:space="preserve"> HYPERLINK "mailto:488468280@qq.com" </w:instrTex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separate"/>
      </w:r>
      <w:r>
        <w:rPr>
          <w:rStyle w:val="3"/>
          <w:rFonts w:hint="eastAsia" w:ascii="微软雅黑" w:hAnsi="微软雅黑" w:eastAsia="微软雅黑" w:cs="微软雅黑"/>
          <w:b/>
          <w:i w:val="0"/>
          <w:caps w:val="0"/>
          <w:color w:val="0000FF"/>
          <w:spacing w:val="0"/>
          <w:sz w:val="30"/>
          <w:szCs w:val="30"/>
          <w:u w:val="single"/>
          <w:bdr w:val="none" w:color="auto" w:sz="0" w:space="0"/>
          <w:shd w:val="clear" w:fill="FFFFFF"/>
        </w:rPr>
        <w:t>488468280@qq.com 邮件主题标注***学院推免生)</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5. 要求各单位必须将2019年所有获得推免资格的名单在本单位进行实时公示。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五、材料审核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45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在《中南大学2019年推免生基本情况登记表》中，审核归口如下：</w:t>
      </w:r>
    </w:p>
    <w:tbl>
      <w:tblPr>
        <w:tblW w:w="8907" w:type="dxa"/>
        <w:jc w:val="center"/>
        <w:tblInd w:w="-270" w:type="dxa"/>
        <w:shd w:val="clear"/>
        <w:tblLayout w:type="fixed"/>
        <w:tblCellMar>
          <w:top w:w="15" w:type="dxa"/>
          <w:left w:w="15" w:type="dxa"/>
          <w:bottom w:w="15" w:type="dxa"/>
          <w:right w:w="15" w:type="dxa"/>
        </w:tblCellMar>
      </w:tblPr>
      <w:tblGrid>
        <w:gridCol w:w="660"/>
        <w:gridCol w:w="2251"/>
        <w:gridCol w:w="3346"/>
        <w:gridCol w:w="2650"/>
      </w:tblGrid>
      <w:tr>
        <w:tblPrEx>
          <w:shd w:val="clear"/>
          <w:tblLayout w:type="fixed"/>
          <w:tblCellMar>
            <w:top w:w="15" w:type="dxa"/>
            <w:left w:w="15" w:type="dxa"/>
            <w:bottom w:w="15" w:type="dxa"/>
            <w:right w:w="15" w:type="dxa"/>
          </w:tblCellMar>
        </w:tblPrEx>
        <w:trPr>
          <w:trHeight w:val="510" w:hRule="atLeast"/>
          <w:jc w:val="center"/>
        </w:trPr>
        <w:tc>
          <w:tcPr>
            <w:tcW w:w="660" w:type="dxa"/>
            <w:tcBorders>
              <w:top w:val="single" w:color="auto" w:sz="8" w:space="0"/>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序号</w:t>
            </w:r>
          </w:p>
        </w:tc>
        <w:tc>
          <w:tcPr>
            <w:tcW w:w="2251" w:type="dxa"/>
            <w:tcBorders>
              <w:top w:val="single" w:color="auto" w:sz="8" w:space="0"/>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审核类型</w:t>
            </w:r>
          </w:p>
        </w:tc>
        <w:tc>
          <w:tcPr>
            <w:tcW w:w="3346" w:type="dxa"/>
            <w:tcBorders>
              <w:top w:val="single" w:color="auto" w:sz="8" w:space="0"/>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学生推免类型</w:t>
            </w:r>
          </w:p>
        </w:tc>
        <w:tc>
          <w:tcPr>
            <w:tcW w:w="2650" w:type="dxa"/>
            <w:tcBorders>
              <w:top w:val="single" w:color="auto" w:sz="8" w:space="0"/>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归口单位签字盖章</w:t>
            </w:r>
          </w:p>
        </w:tc>
      </w:tr>
      <w:tr>
        <w:tblPrEx>
          <w:tblLayout w:type="fixed"/>
          <w:tblCellMar>
            <w:top w:w="15" w:type="dxa"/>
            <w:left w:w="15" w:type="dxa"/>
            <w:bottom w:w="15" w:type="dxa"/>
            <w:right w:w="15" w:type="dxa"/>
          </w:tblCellMar>
        </w:tblPrEx>
        <w:trPr>
          <w:trHeight w:val="510" w:hRule="atLeast"/>
          <w:jc w:val="center"/>
        </w:trPr>
        <w:tc>
          <w:tcPr>
            <w:tcW w:w="660" w:type="dxa"/>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1</w:t>
            </w:r>
          </w:p>
        </w:tc>
        <w:tc>
          <w:tcPr>
            <w:tcW w:w="2251"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思想品德考核</w:t>
            </w: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所有学生</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二级学院党委</w:t>
            </w:r>
          </w:p>
        </w:tc>
      </w:tr>
      <w:tr>
        <w:tblPrEx>
          <w:tblLayout w:type="fixed"/>
          <w:tblCellMar>
            <w:top w:w="15" w:type="dxa"/>
            <w:left w:w="15" w:type="dxa"/>
            <w:bottom w:w="15" w:type="dxa"/>
            <w:right w:w="15" w:type="dxa"/>
          </w:tblCellMar>
        </w:tblPrEx>
        <w:trPr>
          <w:trHeight w:val="510" w:hRule="atLeast"/>
          <w:jc w:val="center"/>
        </w:trPr>
        <w:tc>
          <w:tcPr>
            <w:tcW w:w="660" w:type="dxa"/>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2</w:t>
            </w:r>
          </w:p>
        </w:tc>
        <w:tc>
          <w:tcPr>
            <w:tcW w:w="2251"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文化课成绩审核</w:t>
            </w: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所有学生</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学生所在院教务</w:t>
            </w:r>
          </w:p>
        </w:tc>
      </w:tr>
      <w:tr>
        <w:tblPrEx>
          <w:tblLayout w:type="fixed"/>
          <w:tblCellMar>
            <w:top w:w="15" w:type="dxa"/>
            <w:left w:w="15" w:type="dxa"/>
            <w:bottom w:w="15" w:type="dxa"/>
            <w:right w:w="15" w:type="dxa"/>
          </w:tblCellMar>
        </w:tblPrEx>
        <w:trPr>
          <w:trHeight w:val="510" w:hRule="atLeast"/>
          <w:jc w:val="center"/>
        </w:trPr>
        <w:tc>
          <w:tcPr>
            <w:tcW w:w="660" w:type="dxa"/>
            <w:vMerge w:val="restart"/>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b/>
                <w:kern w:val="0"/>
                <w:sz w:val="30"/>
                <w:szCs w:val="30"/>
                <w:lang w:val="en-US" w:eastAsia="zh-CN" w:bidi="ar"/>
              </w:rPr>
              <w:t>3</w:t>
            </w:r>
          </w:p>
        </w:tc>
        <w:tc>
          <w:tcPr>
            <w:tcW w:w="2251" w:type="dxa"/>
            <w:vMerge w:val="restart"/>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推荐意见审核</w:t>
            </w: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专业分配名额的学生</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各院教学院长</w:t>
            </w:r>
          </w:p>
        </w:tc>
      </w:tr>
      <w:tr>
        <w:tblPrEx>
          <w:tblLayout w:type="fixed"/>
          <w:tblCellMar>
            <w:top w:w="15" w:type="dxa"/>
            <w:left w:w="15" w:type="dxa"/>
            <w:bottom w:w="15" w:type="dxa"/>
            <w:right w:w="15" w:type="dxa"/>
          </w:tblCellMar>
        </w:tblPrEx>
        <w:trPr>
          <w:trHeight w:val="493"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医学类学生</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本科生院医学办</w:t>
            </w:r>
          </w:p>
        </w:tc>
      </w:tr>
      <w:tr>
        <w:tblPrEx>
          <w:tblLayout w:type="fixed"/>
          <w:tblCellMar>
            <w:top w:w="15" w:type="dxa"/>
            <w:left w:w="15" w:type="dxa"/>
            <w:bottom w:w="15" w:type="dxa"/>
            <w:right w:w="15" w:type="dxa"/>
          </w:tblCellMar>
        </w:tblPrEx>
        <w:trPr>
          <w:trHeight w:val="510"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学科竞赛</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各院教学院长</w:t>
            </w:r>
          </w:p>
        </w:tc>
      </w:tr>
      <w:tr>
        <w:tblPrEx>
          <w:tblLayout w:type="fixed"/>
          <w:tblCellMar>
            <w:top w:w="15" w:type="dxa"/>
            <w:left w:w="15" w:type="dxa"/>
            <w:bottom w:w="15" w:type="dxa"/>
            <w:right w:w="15" w:type="dxa"/>
          </w:tblCellMar>
        </w:tblPrEx>
        <w:trPr>
          <w:trHeight w:val="510"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支教团、“挑战杯”</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团委</w:t>
            </w:r>
          </w:p>
        </w:tc>
      </w:tr>
      <w:tr>
        <w:tblPrEx>
          <w:tblLayout w:type="fixed"/>
          <w:tblCellMar>
            <w:top w:w="15" w:type="dxa"/>
            <w:left w:w="15" w:type="dxa"/>
            <w:bottom w:w="15" w:type="dxa"/>
            <w:right w:w="15" w:type="dxa"/>
          </w:tblCellMar>
        </w:tblPrEx>
        <w:trPr>
          <w:trHeight w:val="1173"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艺术体育和社会工作类</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学工部、团委、体育教研部、武装部</w:t>
            </w:r>
          </w:p>
        </w:tc>
      </w:tr>
      <w:tr>
        <w:tblPrEx>
          <w:tblLayout w:type="fixed"/>
          <w:tblCellMar>
            <w:top w:w="15" w:type="dxa"/>
            <w:left w:w="15" w:type="dxa"/>
            <w:bottom w:w="15" w:type="dxa"/>
            <w:right w:w="15" w:type="dxa"/>
          </w:tblCellMar>
        </w:tblPrEx>
        <w:trPr>
          <w:trHeight w:val="510"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国防生</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军选办</w:t>
            </w:r>
          </w:p>
        </w:tc>
      </w:tr>
      <w:tr>
        <w:tblPrEx>
          <w:tblLayout w:type="fixed"/>
          <w:tblCellMar>
            <w:top w:w="15" w:type="dxa"/>
            <w:left w:w="15" w:type="dxa"/>
            <w:bottom w:w="15" w:type="dxa"/>
            <w:right w:w="15" w:type="dxa"/>
          </w:tblCellMar>
        </w:tblPrEx>
        <w:trPr>
          <w:trHeight w:val="510" w:hRule="atLeast"/>
          <w:jc w:val="center"/>
        </w:trPr>
        <w:tc>
          <w:tcPr>
            <w:tcW w:w="660" w:type="dxa"/>
            <w:vMerge w:val="continue"/>
            <w:tcBorders>
              <w:top w:val="nil"/>
              <w:left w:val="single" w:color="auto" w:sz="8" w:space="0"/>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2251" w:type="dxa"/>
            <w:vMerge w:val="continue"/>
            <w:tcBorders>
              <w:top w:val="nil"/>
              <w:left w:val="nil"/>
              <w:bottom w:val="single" w:color="auto" w:sz="8" w:space="0"/>
              <w:right w:val="single" w:color="auto" w:sz="8" w:space="0"/>
            </w:tcBorders>
            <w:shd w:val="clear"/>
            <w:tcMar>
              <w:top w:w="0" w:type="dxa"/>
              <w:left w:w="30" w:type="dxa"/>
              <w:bottom w:w="0" w:type="dxa"/>
              <w:right w:w="30" w:type="dxa"/>
            </w:tcMar>
            <w:vAlign w:val="center"/>
          </w:tcPr>
          <w:p>
            <w:pPr>
              <w:rPr>
                <w:rFonts w:hint="eastAsia" w:ascii="宋体"/>
                <w:sz w:val="24"/>
                <w:szCs w:val="24"/>
              </w:rPr>
            </w:pPr>
          </w:p>
        </w:tc>
        <w:tc>
          <w:tcPr>
            <w:tcW w:w="3346"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退役士兵专项</w:t>
            </w:r>
          </w:p>
        </w:tc>
        <w:tc>
          <w:tcPr>
            <w:tcW w:w="2650" w:type="dxa"/>
            <w:tcBorders>
              <w:top w:val="nil"/>
              <w:left w:val="nil"/>
              <w:bottom w:val="single" w:color="auto" w:sz="8" w:space="0"/>
              <w:right w:val="single" w:color="auto" w:sz="8" w:space="0"/>
            </w:tcBorders>
            <w:shd w:val="clear"/>
            <w:tcMar>
              <w:top w:w="0" w:type="dxa"/>
              <w:left w:w="30" w:type="dxa"/>
              <w:bottom w:w="0" w:type="dxa"/>
              <w:right w:w="3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b/>
                <w:kern w:val="0"/>
                <w:sz w:val="30"/>
                <w:szCs w:val="30"/>
                <w:lang w:val="en-US" w:eastAsia="zh-CN" w:bidi="ar"/>
              </w:rPr>
              <w:t>武装部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 支教团推免生可按规定保留一年入学资格。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 学生只能申请一个类别的推免资格，否则取消申请资格。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 推免生在推荐工作结束至本科毕业，出现下列情况之一者，取消其免试攻读硕士学位研究生资格：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（1）毕业时不能取得学士学位者；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（2）受刑事、行政、纪律处分者；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（3）所提供的成绩或其它材料不实、弄虚作假者。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4. 按教育部要求，获得推荐资格的学生正式报考均在教育部建立的“全国推荐优秀应届本科毕业生免试攻读研究生信息公开暨管理服务系统”（简称“推免服务系统”，网址:</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begin"/>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instrText xml:space="preserve"> HYPERLINK "http://yz.chsi.com.cn/tm" </w:instrTex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separate"/>
      </w:r>
      <w:r>
        <w:rPr>
          <w:rStyle w:val="3"/>
          <w:rFonts w:hint="eastAsia" w:ascii="微软雅黑" w:hAnsi="微软雅黑" w:eastAsia="微软雅黑" w:cs="微软雅黑"/>
          <w:b/>
          <w:i w:val="0"/>
          <w:caps w:val="0"/>
          <w:color w:val="0000FF"/>
          <w:spacing w:val="0"/>
          <w:sz w:val="30"/>
          <w:szCs w:val="30"/>
          <w:u w:val="single"/>
          <w:bdr w:val="none" w:color="auto" w:sz="0" w:space="0"/>
          <w:shd w:val="clear" w:fill="FFFFFF"/>
        </w:rPr>
        <w:t>http://yz.chsi.com.cn/tm，开通时间为9月28日）上进行。获得推荐资格的学生可通过推免服务系统查询本人想要报考的研究生招生单位的推免生招生专业目录和相关规定，或者通过研究生招生单位的官方网站、咨询电话了解有关事项。我校研究生招生信息的网址为</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end"/>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begin"/>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instrText xml:space="preserve"> HYPERLINK "http://gra.its.csu.edu.cn/yjsy/" </w:instrTex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separate"/>
      </w:r>
      <w:r>
        <w:rPr>
          <w:rStyle w:val="3"/>
          <w:rFonts w:hint="eastAsia" w:ascii="微软雅黑" w:hAnsi="微软雅黑" w:eastAsia="微软雅黑" w:cs="微软雅黑"/>
          <w:b/>
          <w:i w:val="0"/>
          <w:caps w:val="0"/>
          <w:color w:val="0000FF"/>
          <w:spacing w:val="0"/>
          <w:sz w:val="30"/>
          <w:szCs w:val="30"/>
          <w:u w:val="single"/>
          <w:bdr w:val="none" w:color="auto" w:sz="0" w:space="0"/>
          <w:shd w:val="clear" w:fill="FFFFFF"/>
        </w:rPr>
        <w:t>http://gra.its.csu.edu.cn/yjsy/，咨询电话为0731-88876806。</w:t>
      </w: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1、《教育部办公厅关于做好2019年推荐优秀应届本科毕业生免试攻读研究生工作的通知》（教学厅【2018】10号）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2、《关于进一步做好大学生应征入伍工作的意见》（中大党学字[2017]4号）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3、中南大学2019年推免生基本情况登记表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0" w:lineRule="atLeast"/>
        <w:ind w:left="0" w:right="0" w:firstLine="601"/>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0"/>
          <w:szCs w:val="30"/>
          <w:bdr w:val="none" w:color="auto" w:sz="0" w:space="0"/>
          <w:shd w:val="clear" w:fill="FFFFFF"/>
          <w:lang w:val="en-US" w:eastAsia="zh-CN" w:bidi="ar"/>
        </w:rPr>
        <w:t>4、中南大学2019年推免生基本情况汇总表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lef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301"/>
        <w:jc w:val="righ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    中南大学本科生院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right"/>
        <w:rPr>
          <w:rFonts w:hint="eastAsia"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2"/>
          <w:szCs w:val="32"/>
          <w:bdr w:val="none" w:color="auto" w:sz="0" w:space="0"/>
          <w:shd w:val="clear" w:fill="FFFFFF"/>
          <w:lang w:val="en-US" w:eastAsia="zh-CN" w:bidi="ar"/>
        </w:rPr>
        <w:t>                                                            二〇一八年九月七日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22263"/>
    <w:rsid w:val="4A2222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2018-09-10T11:10:00Z</dcterms:created>
  <dc:creator>嘻嘻哈</dc:creator>
  <cp:lastModifiedBy>嘻嘻哈</cp:lastModifiedBy>
  <dcterms:modified xsi:type="dcterms:W3CDTF">2018-09-10T11:12:23Z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